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1A24" w14:textId="349CEB7B" w:rsidR="005D1BF6" w:rsidRPr="005D1BF6" w:rsidRDefault="005D1BF6" w:rsidP="005D1BF6">
      <w:pPr>
        <w:pStyle w:val="Default"/>
        <w:spacing w:after="120"/>
        <w:jc w:val="both"/>
        <w:rPr>
          <w:b/>
          <w:bCs/>
          <w:sz w:val="23"/>
          <w:szCs w:val="23"/>
          <w:u w:val="single"/>
        </w:rPr>
      </w:pPr>
      <w:bookmarkStart w:id="0" w:name="_Hlk155083368"/>
      <w:r w:rsidRPr="005D1BF6">
        <w:rPr>
          <w:b/>
          <w:bCs/>
          <w:sz w:val="23"/>
          <w:szCs w:val="23"/>
          <w:u w:val="single"/>
        </w:rPr>
        <w:t>Introduction</w:t>
      </w:r>
    </w:p>
    <w:bookmarkEnd w:id="0"/>
    <w:p w14:paraId="527262ED" w14:textId="537E6B1B" w:rsidR="00AB2BCC" w:rsidRDefault="00AB2BCC" w:rsidP="00AB2BCC">
      <w:pPr>
        <w:pStyle w:val="Default"/>
        <w:jc w:val="both"/>
        <w:rPr>
          <w:sz w:val="23"/>
          <w:szCs w:val="23"/>
        </w:rPr>
      </w:pPr>
      <w:r w:rsidRPr="00AB2BCC">
        <w:rPr>
          <w:sz w:val="23"/>
          <w:szCs w:val="23"/>
        </w:rPr>
        <w:t xml:space="preserve">The Orange County Power Authority (“OCPA”) is hereby requesting proposals for long-term, California Renewables Portfolio Standard-eligible (“RPS”) renewable energy supply and/or </w:t>
      </w:r>
      <w:r>
        <w:rPr>
          <w:sz w:val="23"/>
          <w:szCs w:val="23"/>
        </w:rPr>
        <w:t>Incremental</w:t>
      </w:r>
      <w:r w:rsidRPr="00AB2BCC">
        <w:rPr>
          <w:sz w:val="23"/>
          <w:szCs w:val="23"/>
        </w:rPr>
        <w:t xml:space="preserve"> </w:t>
      </w:r>
      <w:r>
        <w:rPr>
          <w:sz w:val="23"/>
          <w:szCs w:val="23"/>
        </w:rPr>
        <w:t xml:space="preserve">Resource Adequacy </w:t>
      </w:r>
      <w:r w:rsidRPr="00AB2BCC">
        <w:rPr>
          <w:sz w:val="23"/>
          <w:szCs w:val="23"/>
        </w:rPr>
        <w:t>capacity</w:t>
      </w:r>
      <w:r>
        <w:rPr>
          <w:sz w:val="23"/>
          <w:szCs w:val="23"/>
        </w:rPr>
        <w:t xml:space="preserve"> to fulfill </w:t>
      </w:r>
      <w:r w:rsidR="00FD7570">
        <w:rPr>
          <w:sz w:val="23"/>
          <w:szCs w:val="23"/>
        </w:rPr>
        <w:t xml:space="preserve">the organization’s </w:t>
      </w:r>
      <w:r>
        <w:rPr>
          <w:sz w:val="23"/>
          <w:szCs w:val="23"/>
        </w:rPr>
        <w:t xml:space="preserve">ongoing RPS needs while </w:t>
      </w:r>
      <w:r w:rsidR="00FD7570">
        <w:rPr>
          <w:sz w:val="23"/>
          <w:szCs w:val="23"/>
        </w:rPr>
        <w:t>facilitating compliance with</w:t>
      </w:r>
      <w:r>
        <w:rPr>
          <w:sz w:val="23"/>
          <w:szCs w:val="23"/>
        </w:rPr>
        <w:t xml:space="preserve"> recently imposed capacity procurement mandates reflected in CPUC Decision 2</w:t>
      </w:r>
      <w:r w:rsidR="00FD7570">
        <w:rPr>
          <w:sz w:val="23"/>
          <w:szCs w:val="23"/>
        </w:rPr>
        <w:t>6</w:t>
      </w:r>
      <w:r>
        <w:rPr>
          <w:sz w:val="23"/>
          <w:szCs w:val="23"/>
        </w:rPr>
        <w:t>-02-057, which was issued March 5, 2026</w:t>
      </w:r>
      <w:r w:rsidRPr="00AB2BCC">
        <w:rPr>
          <w:sz w:val="23"/>
          <w:szCs w:val="23"/>
        </w:rPr>
        <w:t>.</w:t>
      </w:r>
      <w:r w:rsidR="00FD7570">
        <w:rPr>
          <w:rStyle w:val="FootnoteReference"/>
          <w:sz w:val="23"/>
          <w:szCs w:val="23"/>
        </w:rPr>
        <w:footnoteReference w:id="1"/>
      </w:r>
      <w:r w:rsidRPr="00AB2BCC">
        <w:rPr>
          <w:sz w:val="23"/>
          <w:szCs w:val="23"/>
        </w:rPr>
        <w:t xml:space="preserve"> </w:t>
      </w:r>
      <w:r>
        <w:rPr>
          <w:sz w:val="23"/>
          <w:szCs w:val="23"/>
        </w:rPr>
        <w:t xml:space="preserve"> </w:t>
      </w:r>
      <w:r w:rsidRPr="00AB2BCC">
        <w:rPr>
          <w:sz w:val="23"/>
          <w:szCs w:val="23"/>
        </w:rPr>
        <w:t>OCPA’s future annual retail energy requirements are expected to approximate 2,</w:t>
      </w:r>
      <w:r>
        <w:rPr>
          <w:sz w:val="23"/>
          <w:szCs w:val="23"/>
        </w:rPr>
        <w:t>3</w:t>
      </w:r>
      <w:r w:rsidRPr="00AB2BCC">
        <w:rPr>
          <w:sz w:val="23"/>
          <w:szCs w:val="23"/>
        </w:rPr>
        <w:t xml:space="preserve">00 GWh with peak demand around </w:t>
      </w:r>
      <w:r w:rsidR="00071EFB">
        <w:rPr>
          <w:sz w:val="23"/>
          <w:szCs w:val="23"/>
        </w:rPr>
        <w:t>60</w:t>
      </w:r>
      <w:r w:rsidRPr="00AB2BCC">
        <w:rPr>
          <w:sz w:val="23"/>
          <w:szCs w:val="23"/>
        </w:rPr>
        <w:t>0 MW.</w:t>
      </w:r>
    </w:p>
    <w:p w14:paraId="680D86F2" w14:textId="77777777" w:rsidR="00AB2BCC" w:rsidRPr="00AB2BCC" w:rsidRDefault="00AB2BCC" w:rsidP="00AB2BCC">
      <w:pPr>
        <w:pStyle w:val="Default"/>
        <w:jc w:val="both"/>
        <w:rPr>
          <w:sz w:val="23"/>
          <w:szCs w:val="23"/>
        </w:rPr>
      </w:pPr>
    </w:p>
    <w:p w14:paraId="0955C31F" w14:textId="7D67F87B" w:rsidR="001E1A76" w:rsidRDefault="00AB2BCC" w:rsidP="00AB2BCC">
      <w:pPr>
        <w:pStyle w:val="Default"/>
        <w:jc w:val="both"/>
        <w:rPr>
          <w:sz w:val="23"/>
          <w:szCs w:val="23"/>
        </w:rPr>
      </w:pPr>
      <w:r w:rsidRPr="00AB2BCC">
        <w:rPr>
          <w:sz w:val="23"/>
          <w:szCs w:val="23"/>
        </w:rPr>
        <w:t xml:space="preserve">In consideration of applicable long-term renewable energy contracting requirements and </w:t>
      </w:r>
      <w:r w:rsidR="00FD7570">
        <w:rPr>
          <w:sz w:val="23"/>
          <w:szCs w:val="23"/>
        </w:rPr>
        <w:t>currently effective incremental capacity</w:t>
      </w:r>
      <w:r w:rsidRPr="00AB2BCC">
        <w:rPr>
          <w:sz w:val="23"/>
          <w:szCs w:val="23"/>
        </w:rPr>
        <w:t xml:space="preserve"> procurement mandates, OCPA has certain future open positions for California Renewables Portfolio Standard (“RPS”) eligible energy products and resource adequacy capacity (“RA”). </w:t>
      </w:r>
      <w:proofErr w:type="gramStart"/>
      <w:r w:rsidRPr="00AB2BCC">
        <w:rPr>
          <w:sz w:val="23"/>
          <w:szCs w:val="23"/>
        </w:rPr>
        <w:t>With regard to</w:t>
      </w:r>
      <w:proofErr w:type="gramEnd"/>
      <w:r w:rsidRPr="00AB2BCC">
        <w:rPr>
          <w:sz w:val="23"/>
          <w:szCs w:val="23"/>
        </w:rPr>
        <w:t xml:space="preserve"> renewable energy, this RFP is intended to support OCPA’s future Portfolio Content Category 1 (“PCC1” or “Bucket 1”) energy requirements through long-term power purchase agreements with one or more qualified suppliers. </w:t>
      </w:r>
      <w:proofErr w:type="gramStart"/>
      <w:r w:rsidRPr="00AB2BCC">
        <w:rPr>
          <w:sz w:val="23"/>
          <w:szCs w:val="23"/>
        </w:rPr>
        <w:t>With regard to</w:t>
      </w:r>
      <w:proofErr w:type="gramEnd"/>
      <w:r w:rsidRPr="00AB2BCC">
        <w:rPr>
          <w:sz w:val="23"/>
          <w:szCs w:val="23"/>
        </w:rPr>
        <w:t xml:space="preserve"> RA capacity, OCPA will consider offers for eligible system RA with online dates occurring no sooner than January 1, </w:t>
      </w:r>
      <w:proofErr w:type="gramStart"/>
      <w:r w:rsidRPr="00AB2BCC">
        <w:rPr>
          <w:sz w:val="23"/>
          <w:szCs w:val="23"/>
        </w:rPr>
        <w:t>20</w:t>
      </w:r>
      <w:r w:rsidR="00FD7570">
        <w:rPr>
          <w:sz w:val="23"/>
          <w:szCs w:val="23"/>
        </w:rPr>
        <w:t>28</w:t>
      </w:r>
      <w:proofErr w:type="gramEnd"/>
      <w:r w:rsidRPr="00AB2BCC">
        <w:rPr>
          <w:sz w:val="23"/>
          <w:szCs w:val="23"/>
        </w:rPr>
        <w:t xml:space="preserve"> and no later than June 1, 20</w:t>
      </w:r>
      <w:r w:rsidR="00FD7570">
        <w:rPr>
          <w:sz w:val="23"/>
          <w:szCs w:val="23"/>
        </w:rPr>
        <w:t>32</w:t>
      </w:r>
      <w:r w:rsidRPr="00AB2BCC">
        <w:rPr>
          <w:sz w:val="23"/>
          <w:szCs w:val="23"/>
        </w:rPr>
        <w:t xml:space="preserve"> – these dates </w:t>
      </w:r>
      <w:r w:rsidR="00FD7570">
        <w:rPr>
          <w:sz w:val="23"/>
          <w:szCs w:val="23"/>
        </w:rPr>
        <w:t>are intended to promote general alignment between upcoming</w:t>
      </w:r>
      <w:r w:rsidRPr="00AB2BCC">
        <w:rPr>
          <w:sz w:val="23"/>
          <w:szCs w:val="23"/>
        </w:rPr>
        <w:t xml:space="preserve"> compliance deadlines </w:t>
      </w:r>
      <w:r w:rsidR="00FD7570">
        <w:rPr>
          <w:sz w:val="23"/>
          <w:szCs w:val="23"/>
        </w:rPr>
        <w:t xml:space="preserve">and </w:t>
      </w:r>
      <w:r w:rsidR="00366696">
        <w:rPr>
          <w:sz w:val="23"/>
          <w:szCs w:val="23"/>
        </w:rPr>
        <w:t xml:space="preserve">the </w:t>
      </w:r>
      <w:r w:rsidR="00FD7570">
        <w:rPr>
          <w:sz w:val="23"/>
          <w:szCs w:val="23"/>
        </w:rPr>
        <w:t>procurement efforts resulting from this solicitation</w:t>
      </w:r>
      <w:r w:rsidRPr="00AB2BCC">
        <w:rPr>
          <w:sz w:val="23"/>
          <w:szCs w:val="23"/>
        </w:rPr>
        <w:t xml:space="preserve">. </w:t>
      </w:r>
      <w:r w:rsidR="00366696">
        <w:rPr>
          <w:sz w:val="23"/>
          <w:szCs w:val="23"/>
        </w:rPr>
        <w:t xml:space="preserve"> </w:t>
      </w:r>
      <w:r w:rsidRPr="00AB2BCC">
        <w:rPr>
          <w:sz w:val="23"/>
          <w:szCs w:val="23"/>
        </w:rPr>
        <w:t xml:space="preserve">OCPA has an aggregate capacity need of </w:t>
      </w:r>
      <w:r w:rsidR="00FD7570">
        <w:rPr>
          <w:sz w:val="23"/>
          <w:szCs w:val="23"/>
        </w:rPr>
        <w:t>75</w:t>
      </w:r>
      <w:r w:rsidRPr="00AB2BCC">
        <w:rPr>
          <w:sz w:val="23"/>
          <w:szCs w:val="23"/>
        </w:rPr>
        <w:t xml:space="preserve"> megawatts.</w:t>
      </w:r>
    </w:p>
    <w:p w14:paraId="72918D50" w14:textId="77777777" w:rsidR="00FD7570" w:rsidRDefault="00FD7570" w:rsidP="00AB2BCC">
      <w:pPr>
        <w:pStyle w:val="Default"/>
        <w:jc w:val="both"/>
        <w:rPr>
          <w:sz w:val="23"/>
          <w:szCs w:val="23"/>
        </w:rPr>
      </w:pPr>
    </w:p>
    <w:p w14:paraId="04FE9476" w14:textId="294CD17F" w:rsidR="001E1A76" w:rsidRPr="005D1BF6" w:rsidRDefault="001E1A76" w:rsidP="001E1A76">
      <w:pPr>
        <w:pStyle w:val="Default"/>
        <w:spacing w:after="120"/>
        <w:jc w:val="both"/>
        <w:rPr>
          <w:b/>
          <w:bCs/>
          <w:sz w:val="23"/>
          <w:szCs w:val="23"/>
          <w:u w:val="single"/>
        </w:rPr>
      </w:pPr>
      <w:r>
        <w:rPr>
          <w:b/>
          <w:bCs/>
          <w:sz w:val="23"/>
          <w:szCs w:val="23"/>
          <w:u w:val="single"/>
        </w:rPr>
        <w:t xml:space="preserve">About </w:t>
      </w:r>
      <w:r w:rsidR="00FD7570">
        <w:rPr>
          <w:b/>
          <w:bCs/>
          <w:sz w:val="23"/>
          <w:szCs w:val="23"/>
          <w:u w:val="single"/>
        </w:rPr>
        <w:t>OCPA</w:t>
      </w:r>
    </w:p>
    <w:p w14:paraId="24666FB7" w14:textId="6AE67FD3" w:rsidR="00FD7570" w:rsidRDefault="00FD7570" w:rsidP="00FD7570">
      <w:pPr>
        <w:pStyle w:val="Default"/>
        <w:jc w:val="both"/>
        <w:rPr>
          <w:sz w:val="23"/>
          <w:szCs w:val="23"/>
        </w:rPr>
      </w:pPr>
      <w:r w:rsidRPr="00FD7570">
        <w:rPr>
          <w:sz w:val="23"/>
          <w:szCs w:val="23"/>
        </w:rPr>
        <w:t xml:space="preserve">OCPA commenced CCA service in April 2022, providing a retail electricity alternative to Southern California Edison in the following communities: the cities of Buena Park, Fullerton, Irvine and Fountain Valley (scheduled service begin in </w:t>
      </w:r>
      <w:r>
        <w:rPr>
          <w:sz w:val="23"/>
          <w:szCs w:val="23"/>
        </w:rPr>
        <w:t>April</w:t>
      </w:r>
      <w:r w:rsidRPr="00FD7570">
        <w:rPr>
          <w:sz w:val="23"/>
          <w:szCs w:val="23"/>
        </w:rPr>
        <w:t xml:space="preserve"> 202</w:t>
      </w:r>
      <w:r>
        <w:rPr>
          <w:sz w:val="23"/>
          <w:szCs w:val="23"/>
        </w:rPr>
        <w:t>7</w:t>
      </w:r>
      <w:r w:rsidRPr="00FD7570">
        <w:rPr>
          <w:sz w:val="23"/>
          <w:szCs w:val="23"/>
        </w:rPr>
        <w:t xml:space="preserve">). OCPA is also evaluating membership interest from other Southern California communities and may pursue related expansion activities in the future. </w:t>
      </w:r>
    </w:p>
    <w:p w14:paraId="05CB7F7D" w14:textId="77777777" w:rsidR="00FD7570" w:rsidRPr="00FD7570" w:rsidRDefault="00FD7570" w:rsidP="00FD7570">
      <w:pPr>
        <w:pStyle w:val="Default"/>
        <w:jc w:val="both"/>
        <w:rPr>
          <w:sz w:val="23"/>
          <w:szCs w:val="23"/>
        </w:rPr>
      </w:pPr>
    </w:p>
    <w:p w14:paraId="4C0F698B" w14:textId="3014F8B7" w:rsidR="00C733A4" w:rsidRDefault="00FD7570" w:rsidP="00FD7570">
      <w:pPr>
        <w:pStyle w:val="Default"/>
        <w:jc w:val="both"/>
        <w:rPr>
          <w:sz w:val="23"/>
          <w:szCs w:val="23"/>
        </w:rPr>
      </w:pPr>
      <w:r w:rsidRPr="00FD7570">
        <w:rPr>
          <w:sz w:val="23"/>
          <w:szCs w:val="23"/>
        </w:rPr>
        <w:t xml:space="preserve">More information about OCPA can be found by accessing the following link: </w:t>
      </w:r>
      <w:hyperlink r:id="rId11" w:history="1">
        <w:r w:rsidRPr="00366696">
          <w:rPr>
            <w:rStyle w:val="Hyperlink"/>
            <w:sz w:val="23"/>
            <w:szCs w:val="23"/>
          </w:rPr>
          <w:t>Renewable Energy Program - Orange County Power Authority (ocpower.org)</w:t>
        </w:r>
      </w:hyperlink>
      <w:r w:rsidRPr="00FD7570">
        <w:rPr>
          <w:sz w:val="23"/>
          <w:szCs w:val="23"/>
        </w:rPr>
        <w:t xml:space="preserve">. Additional details related to this RFP process can be found by visiting </w:t>
      </w:r>
      <w:hyperlink r:id="rId12" w:history="1">
        <w:r w:rsidRPr="00366696">
          <w:rPr>
            <w:rStyle w:val="Hyperlink"/>
            <w:sz w:val="23"/>
            <w:szCs w:val="23"/>
          </w:rPr>
          <w:t>RFQ/RFP/Solicitations - Orange County Power Authority (ocpower.org)</w:t>
        </w:r>
      </w:hyperlink>
      <w:r w:rsidRPr="00FD7570">
        <w:rPr>
          <w:sz w:val="23"/>
          <w:szCs w:val="23"/>
        </w:rPr>
        <w:t xml:space="preserve"> – on this site, OCPA has also posted certain documents that may be incorporated in power purchase agreements originating from this process, including lockbox documents (that relate to OCPA’s preferred form of credit support for long-term RPS and capacity transactions), financial statements/information associated with OCPA operations and the RFP Offer Form. Prospective participants are encouraged to regularly check this website for updates to OCPA’s bid requirements, offer form and accompanying materials – </w:t>
      </w:r>
      <w:r w:rsidRPr="00FD7570">
        <w:rPr>
          <w:i/>
          <w:iCs/>
          <w:sz w:val="23"/>
          <w:szCs w:val="23"/>
        </w:rPr>
        <w:t>respondents are responsible for submitting all offers using the most current offer form</w:t>
      </w:r>
      <w:r w:rsidRPr="00FD7570">
        <w:rPr>
          <w:sz w:val="23"/>
          <w:szCs w:val="23"/>
        </w:rPr>
        <w:t xml:space="preserve">. </w:t>
      </w:r>
      <w:r w:rsidR="00C733A4">
        <w:rPr>
          <w:sz w:val="23"/>
          <w:szCs w:val="23"/>
        </w:rPr>
        <w:t xml:space="preserve"> </w:t>
      </w:r>
    </w:p>
    <w:p w14:paraId="19C37422" w14:textId="77777777" w:rsidR="00624B37" w:rsidRDefault="00624B37" w:rsidP="00B37D61">
      <w:pPr>
        <w:pStyle w:val="Default"/>
        <w:jc w:val="both"/>
        <w:rPr>
          <w:sz w:val="23"/>
          <w:szCs w:val="23"/>
        </w:rPr>
      </w:pPr>
    </w:p>
    <w:p w14:paraId="4CF3A986" w14:textId="33E7264A" w:rsidR="0087090A" w:rsidRPr="0073152F" w:rsidRDefault="0073152F" w:rsidP="0073152F">
      <w:pPr>
        <w:pStyle w:val="Default"/>
        <w:spacing w:after="120"/>
        <w:jc w:val="both"/>
        <w:rPr>
          <w:b/>
          <w:sz w:val="23"/>
          <w:szCs w:val="23"/>
          <w:u w:val="single"/>
        </w:rPr>
      </w:pPr>
      <w:r w:rsidRPr="0073152F">
        <w:rPr>
          <w:b/>
          <w:sz w:val="23"/>
          <w:szCs w:val="23"/>
          <w:u w:val="single"/>
        </w:rPr>
        <w:t>RFP Instructions</w:t>
      </w:r>
    </w:p>
    <w:p w14:paraId="2A9B387F" w14:textId="248D350E" w:rsidR="002072BB" w:rsidRDefault="002072BB" w:rsidP="002072BB">
      <w:pPr>
        <w:pStyle w:val="Default"/>
        <w:spacing w:before="120"/>
        <w:jc w:val="both"/>
        <w:rPr>
          <w:sz w:val="23"/>
          <w:szCs w:val="23"/>
        </w:rPr>
      </w:pPr>
      <w:r>
        <w:rPr>
          <w:sz w:val="23"/>
          <w:szCs w:val="23"/>
        </w:rPr>
        <w:t xml:space="preserve">By participating in this RFP, each respondent acknowledges that it has read, understands, and agrees to the terms and conditions set forth in these instructions. </w:t>
      </w:r>
      <w:r w:rsidR="00366696">
        <w:rPr>
          <w:sz w:val="23"/>
          <w:szCs w:val="23"/>
        </w:rPr>
        <w:t>OCPA</w:t>
      </w:r>
      <w:r>
        <w:rPr>
          <w:sz w:val="23"/>
          <w:szCs w:val="23"/>
        </w:rPr>
        <w:t xml:space="preserve"> reserve</w:t>
      </w:r>
      <w:r w:rsidR="00366696">
        <w:rPr>
          <w:sz w:val="23"/>
          <w:szCs w:val="23"/>
        </w:rPr>
        <w:t>s</w:t>
      </w:r>
      <w:r>
        <w:rPr>
          <w:sz w:val="23"/>
          <w:szCs w:val="23"/>
        </w:rPr>
        <w:t xml:space="preserve"> the right to reject any offer that does not comply with these requirements.  Furthermore, </w:t>
      </w:r>
      <w:r w:rsidR="00366696">
        <w:rPr>
          <w:sz w:val="23"/>
          <w:szCs w:val="23"/>
        </w:rPr>
        <w:t>OCPA</w:t>
      </w:r>
      <w:r>
        <w:rPr>
          <w:sz w:val="23"/>
          <w:szCs w:val="23"/>
        </w:rPr>
        <w:t xml:space="preserve"> may, in </w:t>
      </w:r>
      <w:r w:rsidR="00366696">
        <w:rPr>
          <w:sz w:val="23"/>
          <w:szCs w:val="23"/>
        </w:rPr>
        <w:t>its</w:t>
      </w:r>
      <w:r>
        <w:rPr>
          <w:sz w:val="23"/>
          <w:szCs w:val="23"/>
        </w:rPr>
        <w:t xml:space="preserve"> sole discretion and without notice, modify, extend, suspend, or terminate this RFP without further obligation or liability to any respondent. </w:t>
      </w:r>
      <w:r>
        <w:rPr>
          <w:sz w:val="23"/>
          <w:szCs w:val="23"/>
        </w:rPr>
        <w:lastRenderedPageBreak/>
        <w:t xml:space="preserve">This RFP does not constitute an offer to buy or create an obligation for </w:t>
      </w:r>
      <w:r w:rsidR="00366696">
        <w:rPr>
          <w:sz w:val="23"/>
          <w:szCs w:val="23"/>
        </w:rPr>
        <w:t>OCPA</w:t>
      </w:r>
      <w:r>
        <w:rPr>
          <w:sz w:val="23"/>
          <w:szCs w:val="23"/>
        </w:rPr>
        <w:t xml:space="preserve"> to enter into an agreement with any party, and </w:t>
      </w:r>
      <w:r w:rsidR="00366696">
        <w:rPr>
          <w:sz w:val="23"/>
          <w:szCs w:val="23"/>
        </w:rPr>
        <w:t>OCPA</w:t>
      </w:r>
      <w:r>
        <w:rPr>
          <w:sz w:val="23"/>
          <w:szCs w:val="23"/>
        </w:rPr>
        <w:t xml:space="preserve"> shall not be bound by the terms of any offer until </w:t>
      </w:r>
      <w:r w:rsidR="00366696">
        <w:rPr>
          <w:sz w:val="23"/>
          <w:szCs w:val="23"/>
        </w:rPr>
        <w:t>it has</w:t>
      </w:r>
      <w:r>
        <w:rPr>
          <w:sz w:val="23"/>
          <w:szCs w:val="23"/>
        </w:rPr>
        <w:t xml:space="preserve"> entered into a duly authorized and fully executed agreement.</w:t>
      </w:r>
    </w:p>
    <w:p w14:paraId="7C834FF2" w14:textId="77777777" w:rsidR="002072BB" w:rsidRDefault="002072BB" w:rsidP="002072BB">
      <w:pPr>
        <w:pStyle w:val="Default"/>
        <w:spacing w:before="120"/>
        <w:jc w:val="both"/>
        <w:rPr>
          <w:sz w:val="23"/>
          <w:szCs w:val="23"/>
        </w:rPr>
      </w:pPr>
    </w:p>
    <w:p w14:paraId="3ABB5A90" w14:textId="341E37F2" w:rsidR="00624B37" w:rsidRPr="009100D9" w:rsidRDefault="00624B37" w:rsidP="00B37D61">
      <w:pPr>
        <w:pStyle w:val="Default"/>
        <w:spacing w:after="200"/>
        <w:jc w:val="both"/>
      </w:pPr>
      <w:r w:rsidRPr="00E96CD3">
        <w:rPr>
          <w:bCs/>
          <w:i/>
          <w:sz w:val="23"/>
          <w:szCs w:val="23"/>
        </w:rPr>
        <w:t>Standardized Response Template</w:t>
      </w:r>
      <w:r w:rsidRPr="00E96CD3">
        <w:rPr>
          <w:bCs/>
          <w:sz w:val="23"/>
          <w:szCs w:val="23"/>
        </w:rPr>
        <w:t xml:space="preserve">: </w:t>
      </w:r>
      <w:r w:rsidRPr="00E96CD3">
        <w:rPr>
          <w:sz w:val="23"/>
          <w:szCs w:val="23"/>
        </w:rPr>
        <w:t xml:space="preserve">All </w:t>
      </w:r>
      <w:r w:rsidR="001F5926" w:rsidRPr="00E96CD3">
        <w:rPr>
          <w:sz w:val="23"/>
          <w:szCs w:val="23"/>
        </w:rPr>
        <w:t>respondent</w:t>
      </w:r>
      <w:r w:rsidRPr="00E96CD3">
        <w:rPr>
          <w:sz w:val="23"/>
          <w:szCs w:val="23"/>
        </w:rPr>
        <w:t xml:space="preserve">s must use the </w:t>
      </w:r>
      <w:r w:rsidR="0040586B" w:rsidRPr="00E96CD3">
        <w:rPr>
          <w:sz w:val="23"/>
          <w:szCs w:val="23"/>
        </w:rPr>
        <w:t>s</w:t>
      </w:r>
      <w:r w:rsidRPr="00E96CD3">
        <w:rPr>
          <w:sz w:val="23"/>
          <w:szCs w:val="23"/>
        </w:rPr>
        <w:t xml:space="preserve">tandardized </w:t>
      </w:r>
      <w:r w:rsidR="0040586B" w:rsidRPr="00E96CD3">
        <w:rPr>
          <w:sz w:val="23"/>
          <w:szCs w:val="23"/>
        </w:rPr>
        <w:t>r</w:t>
      </w:r>
      <w:r w:rsidRPr="00E96CD3">
        <w:rPr>
          <w:sz w:val="23"/>
          <w:szCs w:val="23"/>
        </w:rPr>
        <w:t xml:space="preserve">esponse </w:t>
      </w:r>
      <w:r w:rsidR="0040586B" w:rsidRPr="00E96CD3">
        <w:rPr>
          <w:sz w:val="23"/>
          <w:szCs w:val="23"/>
        </w:rPr>
        <w:t>t</w:t>
      </w:r>
      <w:r w:rsidRPr="00E96CD3">
        <w:rPr>
          <w:sz w:val="23"/>
          <w:szCs w:val="23"/>
        </w:rPr>
        <w:t>emplat</w:t>
      </w:r>
      <w:r w:rsidR="0087090A" w:rsidRPr="00E96CD3">
        <w:rPr>
          <w:sz w:val="23"/>
          <w:szCs w:val="23"/>
        </w:rPr>
        <w:t xml:space="preserve">e provided by </w:t>
      </w:r>
      <w:r w:rsidR="00366696">
        <w:rPr>
          <w:sz w:val="23"/>
          <w:szCs w:val="23"/>
        </w:rPr>
        <w:t>OCPA</w:t>
      </w:r>
      <w:r w:rsidR="0087090A" w:rsidRPr="00E96CD3">
        <w:rPr>
          <w:sz w:val="23"/>
          <w:szCs w:val="23"/>
        </w:rPr>
        <w:t xml:space="preserve">. </w:t>
      </w:r>
      <w:r w:rsidR="00366696">
        <w:rPr>
          <w:sz w:val="23"/>
          <w:szCs w:val="23"/>
        </w:rPr>
        <w:t xml:space="preserve"> OCPA</w:t>
      </w:r>
      <w:r w:rsidR="008E68E5" w:rsidRPr="00E96CD3">
        <w:rPr>
          <w:sz w:val="23"/>
          <w:szCs w:val="23"/>
        </w:rPr>
        <w:t xml:space="preserve"> </w:t>
      </w:r>
      <w:r w:rsidR="00366696">
        <w:rPr>
          <w:sz w:val="23"/>
          <w:szCs w:val="23"/>
        </w:rPr>
        <w:t>has</w:t>
      </w:r>
      <w:r w:rsidR="0040586B" w:rsidRPr="00E96CD3">
        <w:rPr>
          <w:sz w:val="23"/>
          <w:szCs w:val="23"/>
        </w:rPr>
        <w:t xml:space="preserve"> </w:t>
      </w:r>
      <w:r w:rsidRPr="00E96CD3">
        <w:rPr>
          <w:sz w:val="23"/>
          <w:szCs w:val="23"/>
        </w:rPr>
        <w:t>post</w:t>
      </w:r>
      <w:r w:rsidR="0040586B" w:rsidRPr="00E96CD3">
        <w:rPr>
          <w:sz w:val="23"/>
          <w:szCs w:val="23"/>
        </w:rPr>
        <w:t>ed</w:t>
      </w:r>
      <w:r w:rsidRPr="00E96CD3">
        <w:rPr>
          <w:sz w:val="23"/>
          <w:szCs w:val="23"/>
        </w:rPr>
        <w:t xml:space="preserve"> the </w:t>
      </w:r>
      <w:r w:rsidR="0040586B" w:rsidRPr="00E96CD3">
        <w:rPr>
          <w:sz w:val="23"/>
          <w:szCs w:val="23"/>
        </w:rPr>
        <w:t>t</w:t>
      </w:r>
      <w:r w:rsidRPr="00E96CD3">
        <w:rPr>
          <w:sz w:val="23"/>
          <w:szCs w:val="23"/>
        </w:rPr>
        <w:t xml:space="preserve">emplate on </w:t>
      </w:r>
      <w:r w:rsidR="008E68E5" w:rsidRPr="00E96CD3">
        <w:rPr>
          <w:sz w:val="23"/>
          <w:szCs w:val="23"/>
        </w:rPr>
        <w:t xml:space="preserve">the </w:t>
      </w:r>
      <w:r w:rsidR="00366696">
        <w:rPr>
          <w:sz w:val="23"/>
          <w:szCs w:val="23"/>
        </w:rPr>
        <w:t>OCPA</w:t>
      </w:r>
      <w:r w:rsidRPr="00E96CD3">
        <w:rPr>
          <w:sz w:val="23"/>
          <w:szCs w:val="23"/>
        </w:rPr>
        <w:t xml:space="preserve"> website </w:t>
      </w:r>
      <w:r w:rsidR="009100D9" w:rsidRPr="00E96CD3">
        <w:rPr>
          <w:sz w:val="23"/>
          <w:szCs w:val="23"/>
        </w:rPr>
        <w:t>(</w:t>
      </w:r>
      <w:hyperlink r:id="rId13" w:history="1">
        <w:r w:rsidR="00366696" w:rsidRPr="00366696">
          <w:rPr>
            <w:rStyle w:val="Hyperlink"/>
            <w:sz w:val="23"/>
            <w:szCs w:val="23"/>
          </w:rPr>
          <w:t>RFQ/RFP/Solicitations - Orange County Power Authority (ocpower.org)</w:t>
        </w:r>
      </w:hyperlink>
      <w:r w:rsidR="008E68E5" w:rsidRPr="00E96CD3">
        <w:rPr>
          <w:sz w:val="23"/>
          <w:szCs w:val="23"/>
        </w:rPr>
        <w:t xml:space="preserve"> </w:t>
      </w:r>
      <w:r w:rsidRPr="00E96CD3">
        <w:rPr>
          <w:sz w:val="23"/>
          <w:szCs w:val="23"/>
        </w:rPr>
        <w:t xml:space="preserve">and will require </w:t>
      </w:r>
      <w:r w:rsidR="001F5926" w:rsidRPr="00E96CD3">
        <w:rPr>
          <w:sz w:val="23"/>
          <w:szCs w:val="23"/>
        </w:rPr>
        <w:t>respondent</w:t>
      </w:r>
      <w:r w:rsidRPr="00E96CD3">
        <w:rPr>
          <w:sz w:val="23"/>
          <w:szCs w:val="23"/>
        </w:rPr>
        <w:t>s to independently access and</w:t>
      </w:r>
      <w:r w:rsidRPr="00561140">
        <w:rPr>
          <w:sz w:val="23"/>
          <w:szCs w:val="23"/>
        </w:rPr>
        <w:t xml:space="preserve"> download the </w:t>
      </w:r>
      <w:r w:rsidR="007515B7" w:rsidRPr="00561140">
        <w:rPr>
          <w:sz w:val="23"/>
          <w:szCs w:val="23"/>
        </w:rPr>
        <w:t>t</w:t>
      </w:r>
      <w:r w:rsidRPr="00561140">
        <w:rPr>
          <w:sz w:val="23"/>
          <w:szCs w:val="23"/>
        </w:rPr>
        <w:t xml:space="preserve">emplate prior to response preparation. An unmodified version of the </w:t>
      </w:r>
      <w:r w:rsidR="007515B7" w:rsidRPr="00561140">
        <w:rPr>
          <w:sz w:val="23"/>
          <w:szCs w:val="23"/>
        </w:rPr>
        <w:t>t</w:t>
      </w:r>
      <w:r w:rsidRPr="00561140">
        <w:rPr>
          <w:sz w:val="23"/>
          <w:szCs w:val="23"/>
        </w:rPr>
        <w:t>emplate must be completed in its entirety</w:t>
      </w:r>
      <w:r w:rsidR="00BC5500">
        <w:rPr>
          <w:sz w:val="23"/>
          <w:szCs w:val="23"/>
        </w:rPr>
        <w:t xml:space="preserve">, reflecting all applicable details of the proposed project, </w:t>
      </w:r>
      <w:r w:rsidRPr="00561140">
        <w:rPr>
          <w:sz w:val="23"/>
          <w:szCs w:val="23"/>
        </w:rPr>
        <w:t>based on instructio</w:t>
      </w:r>
      <w:r w:rsidR="0087090A" w:rsidRPr="00561140">
        <w:rPr>
          <w:sz w:val="23"/>
          <w:szCs w:val="23"/>
        </w:rPr>
        <w:t xml:space="preserve">ns provided in the </w:t>
      </w:r>
      <w:r w:rsidR="007515B7" w:rsidRPr="00561140">
        <w:rPr>
          <w:sz w:val="23"/>
          <w:szCs w:val="23"/>
        </w:rPr>
        <w:t>t</w:t>
      </w:r>
      <w:r w:rsidR="0087090A" w:rsidRPr="00561140">
        <w:rPr>
          <w:sz w:val="23"/>
          <w:szCs w:val="23"/>
        </w:rPr>
        <w:t xml:space="preserve">emplate. </w:t>
      </w:r>
      <w:r w:rsidR="00774252">
        <w:rPr>
          <w:sz w:val="23"/>
          <w:szCs w:val="23"/>
        </w:rPr>
        <w:t>In completing the standardized response template, each respondent must acknowledge that it has read, understands and agrees to the process, guidelines and informational requirements</w:t>
      </w:r>
      <w:r w:rsidR="00502548">
        <w:rPr>
          <w:sz w:val="23"/>
          <w:szCs w:val="23"/>
        </w:rPr>
        <w:t>, including pertinent credit expectations (further described below),</w:t>
      </w:r>
      <w:r w:rsidR="00774252">
        <w:rPr>
          <w:sz w:val="23"/>
          <w:szCs w:val="23"/>
        </w:rPr>
        <w:t xml:space="preserve"> reflected in this RFP Overview as well as the response template itself – this acknowledgement</w:t>
      </w:r>
      <w:r w:rsidR="00B32759">
        <w:rPr>
          <w:sz w:val="23"/>
          <w:szCs w:val="23"/>
        </w:rPr>
        <w:t>, as well as certain others that must be completed by each respondent,</w:t>
      </w:r>
      <w:r w:rsidR="00774252">
        <w:rPr>
          <w:sz w:val="23"/>
          <w:szCs w:val="23"/>
        </w:rPr>
        <w:t xml:space="preserve"> can be found within the “1.Participant Information” worksheet; failure to complete such acknowledgement</w:t>
      </w:r>
      <w:r w:rsidR="00B32759">
        <w:rPr>
          <w:sz w:val="23"/>
          <w:szCs w:val="23"/>
        </w:rPr>
        <w:t>s</w:t>
      </w:r>
      <w:r w:rsidR="00774252">
        <w:rPr>
          <w:sz w:val="23"/>
          <w:szCs w:val="23"/>
        </w:rPr>
        <w:t xml:space="preserve"> shall be grounds for proposal rejection.  </w:t>
      </w:r>
      <w:r w:rsidR="00366696">
        <w:rPr>
          <w:sz w:val="23"/>
          <w:szCs w:val="23"/>
        </w:rPr>
        <w:t>OCPA</w:t>
      </w:r>
      <w:r w:rsidRPr="00561140">
        <w:rPr>
          <w:sz w:val="23"/>
          <w:szCs w:val="23"/>
        </w:rPr>
        <w:t xml:space="preserve"> may update </w:t>
      </w:r>
      <w:r w:rsidR="00561140" w:rsidRPr="00561140">
        <w:rPr>
          <w:sz w:val="23"/>
          <w:szCs w:val="23"/>
        </w:rPr>
        <w:t>the</w:t>
      </w:r>
      <w:r w:rsidR="00EE5685" w:rsidRPr="00561140">
        <w:rPr>
          <w:sz w:val="23"/>
          <w:szCs w:val="23"/>
        </w:rPr>
        <w:t xml:space="preserve"> RFP</w:t>
      </w:r>
      <w:r w:rsidRPr="00561140">
        <w:rPr>
          <w:sz w:val="23"/>
          <w:szCs w:val="23"/>
        </w:rPr>
        <w:t xml:space="preserve"> </w:t>
      </w:r>
      <w:r w:rsidR="007515B7" w:rsidRPr="00561140">
        <w:rPr>
          <w:sz w:val="23"/>
          <w:szCs w:val="23"/>
        </w:rPr>
        <w:t>t</w:t>
      </w:r>
      <w:r w:rsidR="00EE5685" w:rsidRPr="00561140">
        <w:rPr>
          <w:sz w:val="23"/>
          <w:szCs w:val="23"/>
        </w:rPr>
        <w:t>emplate</w:t>
      </w:r>
      <w:r w:rsidRPr="00561140">
        <w:rPr>
          <w:sz w:val="23"/>
          <w:szCs w:val="23"/>
        </w:rPr>
        <w:t xml:space="preserve"> from time to time, so </w:t>
      </w:r>
      <w:r w:rsidR="001F5926" w:rsidRPr="00561140">
        <w:rPr>
          <w:sz w:val="23"/>
          <w:szCs w:val="23"/>
        </w:rPr>
        <w:t>respondent</w:t>
      </w:r>
      <w:r w:rsidRPr="00561140">
        <w:rPr>
          <w:sz w:val="23"/>
          <w:szCs w:val="23"/>
        </w:rPr>
        <w:t>s are enco</w:t>
      </w:r>
      <w:r w:rsidR="0087090A" w:rsidRPr="00561140">
        <w:rPr>
          <w:sz w:val="23"/>
          <w:szCs w:val="23"/>
        </w:rPr>
        <w:t xml:space="preserve">uraged to periodically visit </w:t>
      </w:r>
      <w:r w:rsidR="001E1A4E" w:rsidRPr="00561140">
        <w:rPr>
          <w:sz w:val="23"/>
          <w:szCs w:val="23"/>
        </w:rPr>
        <w:t xml:space="preserve">the </w:t>
      </w:r>
      <w:r w:rsidR="00366696">
        <w:rPr>
          <w:sz w:val="23"/>
          <w:szCs w:val="23"/>
        </w:rPr>
        <w:t>OCPA</w:t>
      </w:r>
      <w:r w:rsidRPr="00561140">
        <w:rPr>
          <w:sz w:val="23"/>
          <w:szCs w:val="23"/>
        </w:rPr>
        <w:t xml:space="preserve"> website to determine if any changes have been </w:t>
      </w:r>
      <w:r w:rsidR="00EE5685" w:rsidRPr="00561140">
        <w:rPr>
          <w:sz w:val="23"/>
          <w:szCs w:val="23"/>
        </w:rPr>
        <w:t>posted</w:t>
      </w:r>
      <w:r w:rsidRPr="00561140">
        <w:rPr>
          <w:sz w:val="23"/>
          <w:szCs w:val="23"/>
        </w:rPr>
        <w:t xml:space="preserve">. Only submittals of the currently applicable </w:t>
      </w:r>
      <w:r w:rsidR="007515B7" w:rsidRPr="00561140">
        <w:rPr>
          <w:sz w:val="23"/>
          <w:szCs w:val="23"/>
        </w:rPr>
        <w:t>t</w:t>
      </w:r>
      <w:r w:rsidRPr="00561140">
        <w:rPr>
          <w:sz w:val="23"/>
          <w:szCs w:val="23"/>
        </w:rPr>
        <w:t>emplate will be reviewed.</w:t>
      </w:r>
      <w:r>
        <w:rPr>
          <w:sz w:val="23"/>
          <w:szCs w:val="23"/>
        </w:rPr>
        <w:t xml:space="preserve"> </w:t>
      </w:r>
    </w:p>
    <w:p w14:paraId="46D4FE02" w14:textId="41357979" w:rsidR="00331280" w:rsidRDefault="007515B7" w:rsidP="00B11365">
      <w:pPr>
        <w:pStyle w:val="Default"/>
        <w:jc w:val="both"/>
        <w:rPr>
          <w:bCs/>
          <w:sz w:val="23"/>
          <w:szCs w:val="23"/>
        </w:rPr>
      </w:pPr>
      <w:r w:rsidRPr="008E68E5">
        <w:rPr>
          <w:bCs/>
          <w:i/>
          <w:sz w:val="23"/>
          <w:szCs w:val="23"/>
        </w:rPr>
        <w:t>Project Eligibility</w:t>
      </w:r>
      <w:r w:rsidRPr="0073152F">
        <w:rPr>
          <w:bCs/>
          <w:sz w:val="23"/>
          <w:szCs w:val="23"/>
        </w:rPr>
        <w:t>:</w:t>
      </w:r>
      <w:r>
        <w:rPr>
          <w:b/>
          <w:bCs/>
          <w:sz w:val="23"/>
          <w:szCs w:val="23"/>
        </w:rPr>
        <w:t xml:space="preserve"> </w:t>
      </w:r>
      <w:r w:rsidR="00D81236">
        <w:rPr>
          <w:bCs/>
          <w:sz w:val="23"/>
          <w:szCs w:val="23"/>
        </w:rPr>
        <w:t>Each respondent may propose</w:t>
      </w:r>
      <w:r>
        <w:rPr>
          <w:bCs/>
          <w:sz w:val="23"/>
          <w:szCs w:val="23"/>
        </w:rPr>
        <w:t xml:space="preserve"> one or more project offer</w:t>
      </w:r>
      <w:r w:rsidR="00BC5500">
        <w:rPr>
          <w:bCs/>
          <w:sz w:val="23"/>
          <w:szCs w:val="23"/>
        </w:rPr>
        <w:t>s</w:t>
      </w:r>
      <w:r>
        <w:rPr>
          <w:bCs/>
          <w:sz w:val="23"/>
          <w:szCs w:val="23"/>
        </w:rPr>
        <w:t xml:space="preserve"> conforming </w:t>
      </w:r>
      <w:r w:rsidR="00642AAA">
        <w:rPr>
          <w:bCs/>
          <w:sz w:val="23"/>
          <w:szCs w:val="23"/>
        </w:rPr>
        <w:t>with</w:t>
      </w:r>
      <w:r>
        <w:rPr>
          <w:bCs/>
          <w:sz w:val="23"/>
          <w:szCs w:val="23"/>
        </w:rPr>
        <w:t xml:space="preserve"> the following eligibility requirements.  Failure to meet the project eligibility criteria defined below shall be grounds for proposal rejection.</w:t>
      </w:r>
    </w:p>
    <w:p w14:paraId="71F57B29" w14:textId="7182B9F2" w:rsidR="00BC5500" w:rsidRDefault="00BC5500" w:rsidP="00B11365">
      <w:pPr>
        <w:pStyle w:val="Default"/>
        <w:jc w:val="both"/>
        <w:rPr>
          <w:bCs/>
          <w:sz w:val="23"/>
          <w:szCs w:val="23"/>
        </w:rPr>
      </w:pPr>
    </w:p>
    <w:p w14:paraId="3F24620A" w14:textId="7C945A02" w:rsidR="00BC5500" w:rsidRPr="00BC5500" w:rsidRDefault="00BC5500" w:rsidP="00B11365">
      <w:pPr>
        <w:pStyle w:val="Default"/>
        <w:jc w:val="both"/>
        <w:rPr>
          <w:b/>
          <w:sz w:val="23"/>
          <w:szCs w:val="23"/>
        </w:rPr>
      </w:pPr>
      <w:r w:rsidRPr="00BC5500">
        <w:rPr>
          <w:b/>
          <w:sz w:val="23"/>
          <w:szCs w:val="23"/>
        </w:rPr>
        <w:t>For Long-Term RPS-Eligible Renewable Energy Projects:</w:t>
      </w:r>
    </w:p>
    <w:p w14:paraId="3D55E939" w14:textId="77777777" w:rsidR="007515B7" w:rsidRPr="00B11365" w:rsidRDefault="007515B7" w:rsidP="00B11365">
      <w:pPr>
        <w:pStyle w:val="Default"/>
        <w:jc w:val="both"/>
        <w:rPr>
          <w:bCs/>
          <w:sz w:val="23"/>
          <w:szCs w:val="23"/>
        </w:rPr>
      </w:pPr>
    </w:p>
    <w:p w14:paraId="742170C2" w14:textId="1DBD7B4C" w:rsidR="00331280" w:rsidRDefault="00331280" w:rsidP="00331280">
      <w:pPr>
        <w:pStyle w:val="Default"/>
        <w:spacing w:after="198"/>
        <w:ind w:left="1440"/>
        <w:jc w:val="both"/>
        <w:rPr>
          <w:sz w:val="23"/>
          <w:szCs w:val="23"/>
        </w:rPr>
      </w:pPr>
      <w:proofErr w:type="spellStart"/>
      <w:r>
        <w:rPr>
          <w:b/>
          <w:bCs/>
          <w:sz w:val="23"/>
          <w:szCs w:val="23"/>
        </w:rPr>
        <w:t>i</w:t>
      </w:r>
      <w:proofErr w:type="spellEnd"/>
      <w:r>
        <w:rPr>
          <w:b/>
          <w:bCs/>
          <w:sz w:val="23"/>
          <w:szCs w:val="23"/>
        </w:rPr>
        <w:t xml:space="preserve">. Resource Location: </w:t>
      </w:r>
      <w:r>
        <w:rPr>
          <w:bCs/>
          <w:sz w:val="23"/>
          <w:szCs w:val="23"/>
        </w:rPr>
        <w:t xml:space="preserve">The point of physical interconnection for any eligible generator must be within </w:t>
      </w:r>
      <w:r w:rsidR="00B80AC4">
        <w:rPr>
          <w:bCs/>
          <w:sz w:val="23"/>
          <w:szCs w:val="23"/>
        </w:rPr>
        <w:t xml:space="preserve">the California Independent System Operator (“CAISO”) or directly connected to and delivering into CAISO. </w:t>
      </w:r>
      <w:r w:rsidR="00366696">
        <w:rPr>
          <w:bCs/>
          <w:sz w:val="23"/>
          <w:szCs w:val="23"/>
        </w:rPr>
        <w:t>OCPA</w:t>
      </w:r>
      <w:r w:rsidR="00B80AC4">
        <w:rPr>
          <w:bCs/>
          <w:sz w:val="23"/>
          <w:szCs w:val="23"/>
        </w:rPr>
        <w:t xml:space="preserve"> </w:t>
      </w:r>
      <w:r w:rsidR="00366696">
        <w:rPr>
          <w:bCs/>
          <w:sz w:val="23"/>
          <w:szCs w:val="23"/>
        </w:rPr>
        <w:t>has</w:t>
      </w:r>
      <w:r w:rsidR="00B80AC4">
        <w:rPr>
          <w:bCs/>
          <w:sz w:val="23"/>
          <w:szCs w:val="23"/>
        </w:rPr>
        <w:t xml:space="preserve"> a strong preference for physical interconnection within </w:t>
      </w:r>
      <w:r>
        <w:rPr>
          <w:bCs/>
          <w:sz w:val="23"/>
          <w:szCs w:val="23"/>
        </w:rPr>
        <w:t xml:space="preserve">the area generally termed </w:t>
      </w:r>
      <w:r w:rsidR="0000440C">
        <w:rPr>
          <w:bCs/>
          <w:sz w:val="23"/>
          <w:szCs w:val="23"/>
        </w:rPr>
        <w:t>S</w:t>
      </w:r>
      <w:r>
        <w:rPr>
          <w:bCs/>
          <w:sz w:val="23"/>
          <w:szCs w:val="23"/>
        </w:rPr>
        <w:t>P15, as defined by the CAISO</w:t>
      </w:r>
      <w:r>
        <w:rPr>
          <w:sz w:val="23"/>
          <w:szCs w:val="23"/>
        </w:rPr>
        <w:t>. Evaluative preference will be given to any resource</w:t>
      </w:r>
      <w:r w:rsidR="00BC5500">
        <w:rPr>
          <w:sz w:val="23"/>
          <w:szCs w:val="23"/>
        </w:rPr>
        <w:t>(s)</w:t>
      </w:r>
      <w:r>
        <w:rPr>
          <w:sz w:val="23"/>
          <w:szCs w:val="23"/>
        </w:rPr>
        <w:t xml:space="preserve"> located within </w:t>
      </w:r>
      <w:proofErr w:type="gramStart"/>
      <w:r w:rsidR="001F2FF6">
        <w:rPr>
          <w:sz w:val="23"/>
          <w:szCs w:val="23"/>
        </w:rPr>
        <w:t>close proximity</w:t>
      </w:r>
      <w:proofErr w:type="gramEnd"/>
      <w:r w:rsidR="001F2FF6">
        <w:rPr>
          <w:sz w:val="23"/>
          <w:szCs w:val="23"/>
        </w:rPr>
        <w:t xml:space="preserve"> to the </w:t>
      </w:r>
      <w:r w:rsidR="00BC5500">
        <w:rPr>
          <w:sz w:val="23"/>
          <w:szCs w:val="23"/>
        </w:rPr>
        <w:t xml:space="preserve">communities served by </w:t>
      </w:r>
      <w:r w:rsidR="00366696">
        <w:rPr>
          <w:sz w:val="23"/>
          <w:szCs w:val="23"/>
        </w:rPr>
        <w:t>OCPA</w:t>
      </w:r>
      <w:r w:rsidR="00CC6D50">
        <w:rPr>
          <w:sz w:val="23"/>
          <w:szCs w:val="23"/>
        </w:rPr>
        <w:t>.</w:t>
      </w:r>
    </w:p>
    <w:p w14:paraId="41EFC11B" w14:textId="092FE1BD" w:rsidR="00331280" w:rsidRDefault="00331280" w:rsidP="00331280">
      <w:pPr>
        <w:pStyle w:val="Default"/>
        <w:spacing w:after="198"/>
        <w:ind w:left="1440"/>
        <w:jc w:val="both"/>
        <w:rPr>
          <w:sz w:val="23"/>
          <w:szCs w:val="23"/>
        </w:rPr>
      </w:pPr>
      <w:r w:rsidRPr="00C4756E">
        <w:rPr>
          <w:b/>
          <w:bCs/>
          <w:sz w:val="23"/>
          <w:szCs w:val="23"/>
        </w:rPr>
        <w:t xml:space="preserve">ii. Product: </w:t>
      </w:r>
      <w:r w:rsidR="00C4756E" w:rsidRPr="00C4756E">
        <w:rPr>
          <w:sz w:val="23"/>
          <w:szCs w:val="23"/>
        </w:rPr>
        <w:t>Offers for bundled PCC1 renewable energy should include e</w:t>
      </w:r>
      <w:r w:rsidRPr="00C4756E">
        <w:rPr>
          <w:sz w:val="23"/>
          <w:szCs w:val="23"/>
        </w:rPr>
        <w:t>lectric energy, Green Attributes/Renewable Energy Credits and Ca</w:t>
      </w:r>
      <w:r w:rsidR="001F2FF6" w:rsidRPr="00C4756E">
        <w:rPr>
          <w:sz w:val="23"/>
          <w:szCs w:val="23"/>
        </w:rPr>
        <w:t>pacity Attributes</w:t>
      </w:r>
      <w:r w:rsidRPr="00C4756E">
        <w:rPr>
          <w:sz w:val="23"/>
          <w:szCs w:val="23"/>
        </w:rPr>
        <w:t xml:space="preserve">. </w:t>
      </w:r>
      <w:r w:rsidR="00642AAA" w:rsidRPr="00642AAA">
        <w:rPr>
          <w:i/>
          <w:iCs/>
          <w:sz w:val="23"/>
          <w:szCs w:val="23"/>
        </w:rPr>
        <w:t xml:space="preserve">To the extent any Net Qualifying Capacity (“NQC”) provided by the proposed project will be eligible to support </w:t>
      </w:r>
      <w:r w:rsidR="00366696">
        <w:rPr>
          <w:i/>
          <w:iCs/>
          <w:sz w:val="23"/>
          <w:szCs w:val="23"/>
        </w:rPr>
        <w:t>OCPA</w:t>
      </w:r>
      <w:r w:rsidR="00642AAA" w:rsidRPr="00642AAA">
        <w:rPr>
          <w:i/>
          <w:iCs/>
          <w:sz w:val="23"/>
          <w:szCs w:val="23"/>
        </w:rPr>
        <w:t>’</w:t>
      </w:r>
      <w:r w:rsidR="00366696">
        <w:rPr>
          <w:i/>
          <w:iCs/>
          <w:sz w:val="23"/>
          <w:szCs w:val="23"/>
        </w:rPr>
        <w:t>s</w:t>
      </w:r>
      <w:r w:rsidR="00642AAA" w:rsidRPr="00642AAA">
        <w:rPr>
          <w:i/>
          <w:iCs/>
          <w:sz w:val="23"/>
          <w:szCs w:val="23"/>
        </w:rPr>
        <w:t xml:space="preserve"> </w:t>
      </w:r>
      <w:r w:rsidR="00F1002E">
        <w:rPr>
          <w:i/>
          <w:iCs/>
          <w:sz w:val="23"/>
          <w:szCs w:val="23"/>
        </w:rPr>
        <w:t>incremental capacity</w:t>
      </w:r>
      <w:r w:rsidR="00642AAA" w:rsidRPr="00642AAA">
        <w:rPr>
          <w:i/>
          <w:iCs/>
          <w:sz w:val="23"/>
          <w:szCs w:val="23"/>
        </w:rPr>
        <w:t xml:space="preserve"> requirements, the respondent should indicate this in its response</w:t>
      </w:r>
      <w:r w:rsidR="00642AAA">
        <w:rPr>
          <w:sz w:val="23"/>
          <w:szCs w:val="23"/>
        </w:rPr>
        <w:t xml:space="preserve">.  </w:t>
      </w:r>
      <w:r w:rsidR="00366696">
        <w:rPr>
          <w:sz w:val="23"/>
          <w:szCs w:val="23"/>
        </w:rPr>
        <w:t>OCPA</w:t>
      </w:r>
      <w:r w:rsidR="00E96C5E">
        <w:rPr>
          <w:sz w:val="23"/>
          <w:szCs w:val="23"/>
        </w:rPr>
        <w:t xml:space="preserve"> will </w:t>
      </w:r>
      <w:r w:rsidR="004F4C8C">
        <w:rPr>
          <w:sz w:val="23"/>
          <w:szCs w:val="23"/>
        </w:rPr>
        <w:t xml:space="preserve">only </w:t>
      </w:r>
      <w:r w:rsidR="00E96C5E">
        <w:rPr>
          <w:sz w:val="23"/>
          <w:szCs w:val="23"/>
        </w:rPr>
        <w:t xml:space="preserve">accept offers </w:t>
      </w:r>
      <w:proofErr w:type="gramStart"/>
      <w:r w:rsidR="00E96C5E">
        <w:rPr>
          <w:sz w:val="23"/>
          <w:szCs w:val="23"/>
        </w:rPr>
        <w:t>for</w:t>
      </w:r>
      <w:proofErr w:type="gramEnd"/>
      <w:r w:rsidR="00E96C5E">
        <w:rPr>
          <w:sz w:val="23"/>
          <w:szCs w:val="23"/>
        </w:rPr>
        <w:t xml:space="preserve"> </w:t>
      </w:r>
      <w:r w:rsidR="00E96C5E" w:rsidRPr="00893738">
        <w:rPr>
          <w:b/>
          <w:bCs/>
          <w:sz w:val="23"/>
          <w:szCs w:val="23"/>
          <w:u w:val="single"/>
        </w:rPr>
        <w:t>new</w:t>
      </w:r>
      <w:r w:rsidR="00E96C5E">
        <w:rPr>
          <w:sz w:val="23"/>
          <w:szCs w:val="23"/>
        </w:rPr>
        <w:t xml:space="preserve"> renewable </w:t>
      </w:r>
      <w:r w:rsidR="00BC5500">
        <w:rPr>
          <w:sz w:val="23"/>
          <w:szCs w:val="23"/>
        </w:rPr>
        <w:t>generating</w:t>
      </w:r>
      <w:r w:rsidR="00E96C5E">
        <w:rPr>
          <w:sz w:val="23"/>
          <w:szCs w:val="23"/>
        </w:rPr>
        <w:t xml:space="preserve"> resources</w:t>
      </w:r>
      <w:r w:rsidR="004F4C8C">
        <w:rPr>
          <w:sz w:val="23"/>
          <w:szCs w:val="23"/>
        </w:rPr>
        <w:t xml:space="preserve"> through this RFP</w:t>
      </w:r>
      <w:r w:rsidR="00E96C5E">
        <w:rPr>
          <w:sz w:val="23"/>
          <w:szCs w:val="23"/>
        </w:rPr>
        <w:t>.</w:t>
      </w:r>
    </w:p>
    <w:p w14:paraId="25D001C0" w14:textId="5601B03E" w:rsidR="00331280" w:rsidRDefault="00331280" w:rsidP="00331280">
      <w:pPr>
        <w:pStyle w:val="Default"/>
        <w:spacing w:after="198"/>
        <w:ind w:left="1440"/>
        <w:jc w:val="both"/>
        <w:rPr>
          <w:sz w:val="23"/>
          <w:szCs w:val="23"/>
        </w:rPr>
      </w:pPr>
      <w:r>
        <w:rPr>
          <w:b/>
          <w:bCs/>
          <w:sz w:val="23"/>
          <w:szCs w:val="23"/>
        </w:rPr>
        <w:t xml:space="preserve">iii. Resource Eligibility: </w:t>
      </w:r>
      <w:r>
        <w:rPr>
          <w:sz w:val="23"/>
          <w:szCs w:val="23"/>
        </w:rPr>
        <w:t xml:space="preserve">All proposed generating resources must be certified by the California Energy Commission (“CEC” or “Commission”) as Eligible Renewable Energy Resources (or must receive CEC certification prior to the commencement of any energy deliveries proposed in the response </w:t>
      </w:r>
      <w:r w:rsidR="0000440C">
        <w:rPr>
          <w:sz w:val="23"/>
          <w:szCs w:val="23"/>
        </w:rPr>
        <w:t>t</w:t>
      </w:r>
      <w:r>
        <w:rPr>
          <w:sz w:val="23"/>
          <w:szCs w:val="23"/>
        </w:rPr>
        <w:t>emplate), as set forth in applicable sections of the</w:t>
      </w:r>
      <w:r w:rsidR="00BC5500">
        <w:rPr>
          <w:sz w:val="23"/>
          <w:szCs w:val="23"/>
        </w:rPr>
        <w:t xml:space="preserve"> RPS Eligibility Guidebook,</w:t>
      </w:r>
      <w:r>
        <w:rPr>
          <w:sz w:val="23"/>
          <w:szCs w:val="23"/>
        </w:rPr>
        <w:t xml:space="preserve"> </w:t>
      </w:r>
      <w:r w:rsidR="00BC5500">
        <w:rPr>
          <w:sz w:val="23"/>
          <w:szCs w:val="23"/>
        </w:rPr>
        <w:t xml:space="preserve">the </w:t>
      </w:r>
      <w:r>
        <w:rPr>
          <w:sz w:val="23"/>
          <w:szCs w:val="23"/>
        </w:rPr>
        <w:t>California Public Utilities Code (“Code”)</w:t>
      </w:r>
      <w:r w:rsidR="00BC5500">
        <w:rPr>
          <w:sz w:val="23"/>
          <w:szCs w:val="23"/>
        </w:rPr>
        <w:t xml:space="preserve"> or other applicable documentation</w:t>
      </w:r>
      <w:r>
        <w:rPr>
          <w:sz w:val="23"/>
          <w:szCs w:val="23"/>
        </w:rPr>
        <w:t xml:space="preserve">, </w:t>
      </w:r>
      <w:r w:rsidR="00BC5500">
        <w:rPr>
          <w:sz w:val="23"/>
          <w:szCs w:val="23"/>
        </w:rPr>
        <w:t xml:space="preserve">all of </w:t>
      </w:r>
      <w:r>
        <w:rPr>
          <w:sz w:val="23"/>
          <w:szCs w:val="23"/>
        </w:rPr>
        <w:t xml:space="preserve">which may be amended or supplemented from time to time. Each respondent shall be responsible for certification of the proposed resource through the </w:t>
      </w:r>
      <w:r>
        <w:rPr>
          <w:sz w:val="23"/>
          <w:szCs w:val="23"/>
        </w:rPr>
        <w:lastRenderedPageBreak/>
        <w:t xml:space="preserve">certification process administered by the CEC and shall be responsible for maintaining such certification throughout the contract term.  </w:t>
      </w:r>
    </w:p>
    <w:p w14:paraId="37DFED87" w14:textId="02FC2311" w:rsidR="00331280" w:rsidRPr="00893738" w:rsidRDefault="00331280" w:rsidP="00331280">
      <w:pPr>
        <w:pStyle w:val="Default"/>
        <w:spacing w:after="198"/>
        <w:ind w:left="720" w:firstLine="720"/>
        <w:jc w:val="both"/>
        <w:rPr>
          <w:sz w:val="23"/>
          <w:szCs w:val="23"/>
        </w:rPr>
      </w:pPr>
      <w:r w:rsidRPr="00893738">
        <w:rPr>
          <w:b/>
          <w:bCs/>
          <w:sz w:val="23"/>
          <w:szCs w:val="23"/>
        </w:rPr>
        <w:t xml:space="preserve">iv. Generating Capacity: </w:t>
      </w:r>
      <w:r w:rsidRPr="00893738">
        <w:rPr>
          <w:sz w:val="23"/>
          <w:szCs w:val="23"/>
        </w:rPr>
        <w:t xml:space="preserve">Minimum </w:t>
      </w:r>
      <w:r w:rsidR="009A2780" w:rsidRPr="00893738">
        <w:rPr>
          <w:sz w:val="23"/>
          <w:szCs w:val="23"/>
        </w:rPr>
        <w:t>ten</w:t>
      </w:r>
      <w:r w:rsidR="001F2FF6" w:rsidRPr="00893738">
        <w:rPr>
          <w:sz w:val="23"/>
          <w:szCs w:val="23"/>
        </w:rPr>
        <w:t xml:space="preserve"> </w:t>
      </w:r>
      <w:r w:rsidRPr="00893738">
        <w:rPr>
          <w:sz w:val="23"/>
          <w:szCs w:val="23"/>
        </w:rPr>
        <w:t>(</w:t>
      </w:r>
      <w:r w:rsidR="009A2780" w:rsidRPr="00893738">
        <w:rPr>
          <w:sz w:val="23"/>
          <w:szCs w:val="23"/>
        </w:rPr>
        <w:t>1</w:t>
      </w:r>
      <w:r w:rsidR="00561140" w:rsidRPr="00893738">
        <w:rPr>
          <w:sz w:val="23"/>
          <w:szCs w:val="23"/>
        </w:rPr>
        <w:t>0</w:t>
      </w:r>
      <w:r w:rsidRPr="00893738">
        <w:rPr>
          <w:sz w:val="23"/>
          <w:szCs w:val="23"/>
        </w:rPr>
        <w:t>) megawatt</w:t>
      </w:r>
      <w:r w:rsidR="001174B4" w:rsidRPr="00893738">
        <w:rPr>
          <w:sz w:val="23"/>
          <w:szCs w:val="23"/>
        </w:rPr>
        <w:t>s</w:t>
      </w:r>
      <w:r w:rsidRPr="00893738">
        <w:rPr>
          <w:sz w:val="23"/>
          <w:szCs w:val="23"/>
        </w:rPr>
        <w:t xml:space="preserve"> (“MW”) AC. </w:t>
      </w:r>
    </w:p>
    <w:p w14:paraId="24A83886" w14:textId="320E63F6" w:rsidR="00331280" w:rsidRPr="00893738" w:rsidRDefault="00331280" w:rsidP="00331280">
      <w:pPr>
        <w:pStyle w:val="Default"/>
        <w:spacing w:after="198"/>
        <w:ind w:left="1440"/>
        <w:jc w:val="both"/>
        <w:rPr>
          <w:sz w:val="23"/>
          <w:szCs w:val="23"/>
        </w:rPr>
      </w:pPr>
      <w:r w:rsidRPr="00893738">
        <w:rPr>
          <w:b/>
          <w:bCs/>
          <w:sz w:val="23"/>
          <w:szCs w:val="23"/>
        </w:rPr>
        <w:t xml:space="preserve">v. Annual Delivery Specifications: </w:t>
      </w:r>
      <w:r w:rsidR="00381A25" w:rsidRPr="00893738">
        <w:rPr>
          <w:sz w:val="23"/>
          <w:szCs w:val="23"/>
        </w:rPr>
        <w:t>Annually d</w:t>
      </w:r>
      <w:r w:rsidRPr="00893738">
        <w:rPr>
          <w:sz w:val="23"/>
          <w:szCs w:val="23"/>
        </w:rPr>
        <w:t xml:space="preserve">elivered energy volumes </w:t>
      </w:r>
      <w:r w:rsidR="004A154F" w:rsidRPr="00893738">
        <w:rPr>
          <w:sz w:val="23"/>
          <w:szCs w:val="23"/>
        </w:rPr>
        <w:t xml:space="preserve">reflected in any proposal </w:t>
      </w:r>
      <w:r w:rsidRPr="00893738">
        <w:rPr>
          <w:sz w:val="23"/>
          <w:szCs w:val="23"/>
        </w:rPr>
        <w:t xml:space="preserve">shall be </w:t>
      </w:r>
      <w:r w:rsidR="00381A25" w:rsidRPr="00893738">
        <w:rPr>
          <w:sz w:val="23"/>
          <w:szCs w:val="23"/>
        </w:rPr>
        <w:t xml:space="preserve">no less than </w:t>
      </w:r>
      <w:r w:rsidR="004F4C8C" w:rsidRPr="00893738">
        <w:rPr>
          <w:sz w:val="23"/>
          <w:szCs w:val="23"/>
        </w:rPr>
        <w:t>25</w:t>
      </w:r>
      <w:r w:rsidR="00381A25" w:rsidRPr="00893738">
        <w:rPr>
          <w:sz w:val="23"/>
          <w:szCs w:val="23"/>
        </w:rPr>
        <w:t>,000 MWh but no greater than 400,000 MWh.</w:t>
      </w:r>
      <w:r w:rsidRPr="00893738">
        <w:rPr>
          <w:sz w:val="23"/>
          <w:szCs w:val="23"/>
        </w:rPr>
        <w:t xml:space="preserve"> </w:t>
      </w:r>
    </w:p>
    <w:p w14:paraId="648D3668" w14:textId="7D7DF3CC" w:rsidR="00331280" w:rsidRPr="00893738" w:rsidRDefault="00331280" w:rsidP="0028161D">
      <w:pPr>
        <w:pStyle w:val="Default"/>
        <w:ind w:left="1440"/>
        <w:jc w:val="both"/>
        <w:rPr>
          <w:sz w:val="23"/>
          <w:szCs w:val="23"/>
        </w:rPr>
      </w:pPr>
      <w:r w:rsidRPr="00893738">
        <w:rPr>
          <w:b/>
          <w:bCs/>
          <w:sz w:val="23"/>
          <w:szCs w:val="23"/>
        </w:rPr>
        <w:t xml:space="preserve">vi. Initial Date of Delivery: </w:t>
      </w:r>
      <w:r w:rsidRPr="00893738">
        <w:rPr>
          <w:sz w:val="23"/>
          <w:szCs w:val="23"/>
        </w:rPr>
        <w:t xml:space="preserve">No sooner than </w:t>
      </w:r>
      <w:r w:rsidR="0028161D" w:rsidRPr="00893738">
        <w:rPr>
          <w:sz w:val="23"/>
          <w:szCs w:val="23"/>
        </w:rPr>
        <w:t>January</w:t>
      </w:r>
      <w:r w:rsidR="001F2FF6" w:rsidRPr="00893738">
        <w:rPr>
          <w:sz w:val="23"/>
          <w:szCs w:val="23"/>
        </w:rPr>
        <w:t xml:space="preserve"> 1, </w:t>
      </w:r>
      <w:proofErr w:type="gramStart"/>
      <w:r w:rsidR="001F2FF6" w:rsidRPr="00893738">
        <w:rPr>
          <w:sz w:val="23"/>
          <w:szCs w:val="23"/>
        </w:rPr>
        <w:t>202</w:t>
      </w:r>
      <w:r w:rsidR="00366696">
        <w:rPr>
          <w:sz w:val="23"/>
          <w:szCs w:val="23"/>
        </w:rPr>
        <w:t>8</w:t>
      </w:r>
      <w:proofErr w:type="gramEnd"/>
      <w:r w:rsidR="001F2FF6" w:rsidRPr="00893738">
        <w:rPr>
          <w:sz w:val="23"/>
          <w:szCs w:val="23"/>
        </w:rPr>
        <w:t xml:space="preserve"> and no later than </w:t>
      </w:r>
      <w:r w:rsidR="00A7347D" w:rsidRPr="00893738">
        <w:rPr>
          <w:sz w:val="23"/>
          <w:szCs w:val="23"/>
        </w:rPr>
        <w:t>June 1</w:t>
      </w:r>
      <w:r w:rsidR="001F2FF6" w:rsidRPr="00893738">
        <w:rPr>
          <w:sz w:val="23"/>
          <w:szCs w:val="23"/>
        </w:rPr>
        <w:t xml:space="preserve">, </w:t>
      </w:r>
      <w:r w:rsidR="00407008" w:rsidRPr="00893738">
        <w:rPr>
          <w:sz w:val="23"/>
          <w:szCs w:val="23"/>
        </w:rPr>
        <w:t>20</w:t>
      </w:r>
      <w:r w:rsidR="00830617" w:rsidRPr="00893738">
        <w:rPr>
          <w:sz w:val="23"/>
          <w:szCs w:val="23"/>
        </w:rPr>
        <w:t>32</w:t>
      </w:r>
      <w:r w:rsidRPr="00893738">
        <w:rPr>
          <w:sz w:val="23"/>
          <w:szCs w:val="23"/>
        </w:rPr>
        <w:t xml:space="preserve">. </w:t>
      </w:r>
    </w:p>
    <w:p w14:paraId="186D29CC" w14:textId="77777777" w:rsidR="00331280" w:rsidRPr="00893738" w:rsidRDefault="00331280" w:rsidP="00331280">
      <w:pPr>
        <w:pStyle w:val="Default"/>
        <w:jc w:val="both"/>
        <w:rPr>
          <w:sz w:val="23"/>
          <w:szCs w:val="23"/>
        </w:rPr>
      </w:pPr>
    </w:p>
    <w:p w14:paraId="2EE92DCF" w14:textId="235C942F" w:rsidR="00331280" w:rsidRDefault="00331280" w:rsidP="00331280">
      <w:pPr>
        <w:pStyle w:val="Default"/>
        <w:spacing w:after="198"/>
        <w:ind w:left="1440"/>
        <w:jc w:val="both"/>
        <w:rPr>
          <w:sz w:val="23"/>
          <w:szCs w:val="23"/>
        </w:rPr>
      </w:pPr>
      <w:r w:rsidRPr="00893738">
        <w:rPr>
          <w:b/>
          <w:bCs/>
          <w:sz w:val="23"/>
          <w:szCs w:val="23"/>
        </w:rPr>
        <w:t xml:space="preserve">vii. Term of Agreement: </w:t>
      </w:r>
      <w:r w:rsidRPr="00893738">
        <w:rPr>
          <w:sz w:val="23"/>
          <w:szCs w:val="23"/>
        </w:rPr>
        <w:t xml:space="preserve">Not less than </w:t>
      </w:r>
      <w:r w:rsidR="001F2FF6" w:rsidRPr="00893738">
        <w:rPr>
          <w:sz w:val="23"/>
          <w:szCs w:val="23"/>
        </w:rPr>
        <w:t>ten</w:t>
      </w:r>
      <w:r w:rsidRPr="00893738">
        <w:rPr>
          <w:sz w:val="23"/>
          <w:szCs w:val="23"/>
        </w:rPr>
        <w:t xml:space="preserve"> (</w:t>
      </w:r>
      <w:r w:rsidR="001F2FF6" w:rsidRPr="00893738">
        <w:rPr>
          <w:sz w:val="23"/>
          <w:szCs w:val="23"/>
        </w:rPr>
        <w:t>10</w:t>
      </w:r>
      <w:r w:rsidRPr="00893738">
        <w:rPr>
          <w:sz w:val="23"/>
          <w:szCs w:val="23"/>
        </w:rPr>
        <w:t>) years, commencing on the Initial Date of Del</w:t>
      </w:r>
      <w:r w:rsidR="001F2FF6" w:rsidRPr="00893738">
        <w:rPr>
          <w:sz w:val="23"/>
          <w:szCs w:val="23"/>
        </w:rPr>
        <w:t xml:space="preserve">ivery; not more than </w:t>
      </w:r>
      <w:r w:rsidR="0028161D" w:rsidRPr="00893738">
        <w:rPr>
          <w:sz w:val="23"/>
          <w:szCs w:val="23"/>
        </w:rPr>
        <w:t>twenty</w:t>
      </w:r>
      <w:r w:rsidR="001F2FF6" w:rsidRPr="00893738">
        <w:rPr>
          <w:sz w:val="23"/>
          <w:szCs w:val="23"/>
        </w:rPr>
        <w:t xml:space="preserve"> (</w:t>
      </w:r>
      <w:r w:rsidR="0028161D" w:rsidRPr="00893738">
        <w:rPr>
          <w:sz w:val="23"/>
          <w:szCs w:val="23"/>
        </w:rPr>
        <w:t>20</w:t>
      </w:r>
      <w:r w:rsidRPr="00893738">
        <w:rPr>
          <w:sz w:val="23"/>
          <w:szCs w:val="23"/>
        </w:rPr>
        <w:t>) years, commencing on the Initial Date of Delivery.</w:t>
      </w:r>
    </w:p>
    <w:p w14:paraId="428F289A" w14:textId="258046A3" w:rsidR="00331280" w:rsidRDefault="00331280" w:rsidP="00331280">
      <w:pPr>
        <w:pStyle w:val="Default"/>
        <w:spacing w:after="198"/>
        <w:ind w:left="1440"/>
        <w:jc w:val="both"/>
        <w:rPr>
          <w:sz w:val="23"/>
          <w:szCs w:val="23"/>
        </w:rPr>
      </w:pPr>
      <w:r>
        <w:rPr>
          <w:b/>
          <w:bCs/>
          <w:sz w:val="23"/>
          <w:szCs w:val="23"/>
        </w:rPr>
        <w:t xml:space="preserve">viii. Proposed Pricing: </w:t>
      </w:r>
      <w:r w:rsidR="00904FBB" w:rsidRPr="00904FBB">
        <w:rPr>
          <w:sz w:val="23"/>
          <w:szCs w:val="23"/>
        </w:rPr>
        <w:t xml:space="preserve">For bundled PCC1 renewable energy, </w:t>
      </w:r>
      <w:r w:rsidR="00904FBB">
        <w:rPr>
          <w:sz w:val="23"/>
          <w:szCs w:val="23"/>
        </w:rPr>
        <w:t>e</w:t>
      </w:r>
      <w:r>
        <w:rPr>
          <w:sz w:val="23"/>
          <w:szCs w:val="23"/>
        </w:rPr>
        <w:t xml:space="preserve">ach response must propose a single, flat price for each MWh of electric energy delivered from the </w:t>
      </w:r>
      <w:r w:rsidRPr="000053EF">
        <w:rPr>
          <w:sz w:val="23"/>
          <w:szCs w:val="23"/>
        </w:rPr>
        <w:t>proposed resource</w:t>
      </w:r>
      <w:r w:rsidR="002A7703">
        <w:rPr>
          <w:sz w:val="23"/>
          <w:szCs w:val="23"/>
        </w:rPr>
        <w:t>, priced at the generator node</w:t>
      </w:r>
      <w:r w:rsidR="00904FBB">
        <w:rPr>
          <w:sz w:val="23"/>
          <w:szCs w:val="23"/>
        </w:rPr>
        <w:t xml:space="preserve"> and/or at</w:t>
      </w:r>
      <w:r w:rsidR="002A7703">
        <w:rPr>
          <w:sz w:val="23"/>
          <w:szCs w:val="23"/>
        </w:rPr>
        <w:t xml:space="preserve"> the </w:t>
      </w:r>
      <w:r w:rsidR="006E7435">
        <w:rPr>
          <w:sz w:val="23"/>
          <w:szCs w:val="23"/>
        </w:rPr>
        <w:t>SP 15 Trading Hub</w:t>
      </w:r>
      <w:r w:rsidR="002A7703">
        <w:rPr>
          <w:sz w:val="23"/>
          <w:szCs w:val="23"/>
        </w:rPr>
        <w:t>, as defined by the CAISO [</w:t>
      </w:r>
      <w:r w:rsidR="006E7435">
        <w:rPr>
          <w:sz w:val="23"/>
          <w:szCs w:val="23"/>
        </w:rPr>
        <w:t>TH_SP15_GEN-APND</w:t>
      </w:r>
      <w:r w:rsidR="002A7703">
        <w:rPr>
          <w:sz w:val="23"/>
          <w:szCs w:val="23"/>
        </w:rPr>
        <w:t>]</w:t>
      </w:r>
      <w:r w:rsidR="000053EF">
        <w:rPr>
          <w:sz w:val="23"/>
          <w:szCs w:val="23"/>
        </w:rPr>
        <w:t xml:space="preserve">. </w:t>
      </w:r>
      <w:r w:rsidR="00D517C6" w:rsidDel="00ED37AF">
        <w:rPr>
          <w:sz w:val="23"/>
          <w:szCs w:val="23"/>
        </w:rPr>
        <w:t>This energy price shall include the energy commodity, all Green Attributes/Renewable Energy Credits, and</w:t>
      </w:r>
      <w:r w:rsidR="00D517C6">
        <w:rPr>
          <w:sz w:val="23"/>
          <w:szCs w:val="23"/>
        </w:rPr>
        <w:t xml:space="preserve"> </w:t>
      </w:r>
      <w:r w:rsidR="00D517C6" w:rsidDel="00ED37AF">
        <w:rPr>
          <w:sz w:val="23"/>
          <w:szCs w:val="23"/>
        </w:rPr>
        <w:t xml:space="preserve">Capacity Attributes. </w:t>
      </w:r>
      <w:r w:rsidR="00206452">
        <w:rPr>
          <w:sz w:val="23"/>
          <w:szCs w:val="23"/>
        </w:rPr>
        <w:t>All</w:t>
      </w:r>
      <w:r w:rsidR="000053EF">
        <w:rPr>
          <w:sz w:val="23"/>
          <w:szCs w:val="23"/>
        </w:rPr>
        <w:t xml:space="preserve"> pricing shall remain unchanged throughout </w:t>
      </w:r>
      <w:r>
        <w:rPr>
          <w:sz w:val="23"/>
          <w:szCs w:val="23"/>
        </w:rPr>
        <w:t xml:space="preserve">the </w:t>
      </w:r>
      <w:r w:rsidR="00381A25">
        <w:rPr>
          <w:sz w:val="23"/>
          <w:szCs w:val="23"/>
        </w:rPr>
        <w:t>delivery</w:t>
      </w:r>
      <w:r>
        <w:rPr>
          <w:sz w:val="23"/>
          <w:szCs w:val="23"/>
        </w:rPr>
        <w:t xml:space="preserve"> term and shall </w:t>
      </w:r>
      <w:r w:rsidRPr="00381A25">
        <w:rPr>
          <w:sz w:val="23"/>
          <w:szCs w:val="23"/>
          <w:u w:val="single"/>
        </w:rPr>
        <w:t>not be adjusted</w:t>
      </w:r>
      <w:r>
        <w:rPr>
          <w:sz w:val="23"/>
          <w:szCs w:val="23"/>
        </w:rPr>
        <w:t xml:space="preserve"> by periodic</w:t>
      </w:r>
      <w:r w:rsidR="001B3B70">
        <w:rPr>
          <w:sz w:val="23"/>
          <w:szCs w:val="23"/>
        </w:rPr>
        <w:t xml:space="preserve"> escalators or time of deliver</w:t>
      </w:r>
      <w:r w:rsidR="00381A25">
        <w:rPr>
          <w:sz w:val="23"/>
          <w:szCs w:val="23"/>
        </w:rPr>
        <w:t>y</w:t>
      </w:r>
      <w:r w:rsidR="001B3B70">
        <w:rPr>
          <w:sz w:val="23"/>
          <w:szCs w:val="23"/>
        </w:rPr>
        <w:t xml:space="preserve"> multipliers/factors</w:t>
      </w:r>
      <w:r>
        <w:rPr>
          <w:sz w:val="23"/>
          <w:szCs w:val="23"/>
        </w:rPr>
        <w:t xml:space="preserve">. </w:t>
      </w:r>
      <w:r w:rsidRPr="00B11365">
        <w:rPr>
          <w:b/>
          <w:i/>
          <w:iCs/>
          <w:sz w:val="23"/>
          <w:szCs w:val="23"/>
        </w:rPr>
        <w:t>Alternative pricing options</w:t>
      </w:r>
      <w:r w:rsidR="004F4C8C">
        <w:rPr>
          <w:b/>
          <w:i/>
          <w:iCs/>
          <w:sz w:val="23"/>
          <w:szCs w:val="23"/>
        </w:rPr>
        <w:t>, such as index-plus pricing,</w:t>
      </w:r>
      <w:r w:rsidRPr="00B11365">
        <w:rPr>
          <w:b/>
          <w:i/>
          <w:iCs/>
          <w:sz w:val="23"/>
          <w:szCs w:val="23"/>
        </w:rPr>
        <w:t xml:space="preserve"> may be proposed so long as the </w:t>
      </w:r>
      <w:proofErr w:type="gramStart"/>
      <w:r w:rsidRPr="00B11365">
        <w:rPr>
          <w:b/>
          <w:i/>
          <w:iCs/>
          <w:sz w:val="23"/>
          <w:szCs w:val="23"/>
        </w:rPr>
        <w:t>aforementioned pricing</w:t>
      </w:r>
      <w:proofErr w:type="gramEnd"/>
      <w:r w:rsidRPr="00B11365">
        <w:rPr>
          <w:b/>
          <w:i/>
          <w:iCs/>
          <w:sz w:val="23"/>
          <w:szCs w:val="23"/>
        </w:rPr>
        <w:t xml:space="preserve"> requirement</w:t>
      </w:r>
      <w:r w:rsidR="001B3B70">
        <w:rPr>
          <w:b/>
          <w:i/>
          <w:iCs/>
          <w:sz w:val="23"/>
          <w:szCs w:val="23"/>
        </w:rPr>
        <w:t>s have</w:t>
      </w:r>
      <w:r w:rsidRPr="00B11365">
        <w:rPr>
          <w:b/>
          <w:i/>
          <w:iCs/>
          <w:sz w:val="23"/>
          <w:szCs w:val="23"/>
        </w:rPr>
        <w:t xml:space="preserve"> been satisfied</w:t>
      </w:r>
      <w:r w:rsidR="00E96C5E" w:rsidRPr="00E96C5E">
        <w:rPr>
          <w:b/>
          <w:bCs/>
          <w:i/>
          <w:iCs/>
          <w:sz w:val="23"/>
          <w:szCs w:val="23"/>
        </w:rPr>
        <w:t>.</w:t>
      </w:r>
    </w:p>
    <w:p w14:paraId="1973B940" w14:textId="08920C57" w:rsidR="00331280" w:rsidRDefault="00331280" w:rsidP="002A7703">
      <w:pPr>
        <w:pStyle w:val="Default"/>
        <w:spacing w:after="198"/>
        <w:ind w:left="1440"/>
        <w:jc w:val="both"/>
        <w:rPr>
          <w:bCs/>
          <w:sz w:val="23"/>
          <w:szCs w:val="23"/>
        </w:rPr>
      </w:pPr>
      <w:r>
        <w:rPr>
          <w:b/>
          <w:bCs/>
          <w:sz w:val="23"/>
          <w:szCs w:val="23"/>
        </w:rPr>
        <w:t xml:space="preserve">ix. Point of Delivery: </w:t>
      </w:r>
      <w:r w:rsidR="002A7703" w:rsidRPr="002A7703">
        <w:rPr>
          <w:bCs/>
          <w:sz w:val="23"/>
          <w:szCs w:val="23"/>
        </w:rPr>
        <w:t>Per the requirement</w:t>
      </w:r>
      <w:r w:rsidR="002A7703">
        <w:rPr>
          <w:bCs/>
          <w:sz w:val="23"/>
          <w:szCs w:val="23"/>
        </w:rPr>
        <w:t xml:space="preserve">s of the Proposed Pricing section, respondents </w:t>
      </w:r>
      <w:r w:rsidR="001506C1">
        <w:rPr>
          <w:bCs/>
          <w:sz w:val="23"/>
          <w:szCs w:val="23"/>
        </w:rPr>
        <w:t>must</w:t>
      </w:r>
      <w:r w:rsidR="002A7703">
        <w:rPr>
          <w:bCs/>
          <w:sz w:val="23"/>
          <w:szCs w:val="23"/>
        </w:rPr>
        <w:t xml:space="preserve"> provide </w:t>
      </w:r>
      <w:r w:rsidR="001506C1">
        <w:rPr>
          <w:bCs/>
          <w:sz w:val="23"/>
          <w:szCs w:val="23"/>
        </w:rPr>
        <w:t>a proposal</w:t>
      </w:r>
      <w:r w:rsidR="002A7703">
        <w:rPr>
          <w:bCs/>
          <w:sz w:val="23"/>
          <w:szCs w:val="23"/>
        </w:rPr>
        <w:t xml:space="preserve"> for </w:t>
      </w:r>
      <w:r w:rsidR="001506C1">
        <w:rPr>
          <w:bCs/>
          <w:sz w:val="23"/>
          <w:szCs w:val="23"/>
        </w:rPr>
        <w:t xml:space="preserve">the </w:t>
      </w:r>
      <w:r w:rsidR="002A7703">
        <w:rPr>
          <w:bCs/>
          <w:sz w:val="23"/>
          <w:szCs w:val="23"/>
        </w:rPr>
        <w:t>delive</w:t>
      </w:r>
      <w:r w:rsidR="001506C1">
        <w:rPr>
          <w:bCs/>
          <w:sz w:val="23"/>
          <w:szCs w:val="23"/>
        </w:rPr>
        <w:t xml:space="preserve">ry of all electric energy at </w:t>
      </w:r>
      <w:r w:rsidR="002A7703">
        <w:rPr>
          <w:bCs/>
          <w:sz w:val="23"/>
          <w:szCs w:val="23"/>
        </w:rPr>
        <w:t xml:space="preserve">the generator node; </w:t>
      </w:r>
      <w:r w:rsidR="001506C1">
        <w:rPr>
          <w:bCs/>
          <w:sz w:val="23"/>
          <w:szCs w:val="23"/>
        </w:rPr>
        <w:t xml:space="preserve">however, respondents are also strongly encouraged to provide a proposal that includes </w:t>
      </w:r>
      <w:r w:rsidR="007B160A">
        <w:rPr>
          <w:bCs/>
          <w:sz w:val="23"/>
          <w:szCs w:val="23"/>
        </w:rPr>
        <w:t xml:space="preserve">pricing based on </w:t>
      </w:r>
      <w:r w:rsidR="001506C1">
        <w:rPr>
          <w:bCs/>
          <w:sz w:val="23"/>
          <w:szCs w:val="23"/>
        </w:rPr>
        <w:t xml:space="preserve">delivery of all electric energy </w:t>
      </w:r>
      <w:r w:rsidR="00E96C5E">
        <w:rPr>
          <w:bCs/>
          <w:sz w:val="23"/>
          <w:szCs w:val="23"/>
        </w:rPr>
        <w:t>to</w:t>
      </w:r>
      <w:r w:rsidR="001506C1">
        <w:rPr>
          <w:bCs/>
          <w:sz w:val="23"/>
          <w:szCs w:val="23"/>
        </w:rPr>
        <w:t xml:space="preserve"> the SP 15 Trading Hub</w:t>
      </w:r>
      <w:r w:rsidR="006E7435">
        <w:rPr>
          <w:bCs/>
          <w:sz w:val="23"/>
          <w:szCs w:val="23"/>
        </w:rPr>
        <w:t>.</w:t>
      </w:r>
    </w:p>
    <w:p w14:paraId="679A544B" w14:textId="449E4FE5" w:rsidR="006E7435" w:rsidRDefault="006E7435" w:rsidP="00E96C5E">
      <w:pPr>
        <w:pStyle w:val="Default"/>
        <w:spacing w:after="198"/>
        <w:ind w:left="1440"/>
        <w:jc w:val="both"/>
        <w:rPr>
          <w:sz w:val="23"/>
          <w:szCs w:val="23"/>
        </w:rPr>
      </w:pPr>
      <w:r>
        <w:rPr>
          <w:b/>
          <w:sz w:val="23"/>
          <w:szCs w:val="23"/>
        </w:rPr>
        <w:t xml:space="preserve">x. </w:t>
      </w:r>
      <w:r w:rsidRPr="006E7435">
        <w:rPr>
          <w:b/>
          <w:sz w:val="23"/>
          <w:szCs w:val="23"/>
        </w:rPr>
        <w:t>Scheduling Coordinator (“SC”) Responsibilities:</w:t>
      </w:r>
      <w:r w:rsidR="002F025F">
        <w:rPr>
          <w:sz w:val="23"/>
          <w:szCs w:val="23"/>
        </w:rPr>
        <w:t xml:space="preserve">  </w:t>
      </w:r>
      <w:r w:rsidR="00366696">
        <w:rPr>
          <w:sz w:val="23"/>
          <w:szCs w:val="23"/>
        </w:rPr>
        <w:t>OCPA</w:t>
      </w:r>
      <w:r w:rsidR="00E96C5E">
        <w:rPr>
          <w:sz w:val="23"/>
          <w:szCs w:val="23"/>
        </w:rPr>
        <w:t xml:space="preserve"> do</w:t>
      </w:r>
      <w:r w:rsidR="00366696">
        <w:rPr>
          <w:sz w:val="23"/>
          <w:szCs w:val="23"/>
        </w:rPr>
        <w:t>es</w:t>
      </w:r>
      <w:r w:rsidR="00E96C5E">
        <w:rPr>
          <w:sz w:val="23"/>
          <w:szCs w:val="23"/>
        </w:rPr>
        <w:t xml:space="preserve"> not have a strong preference regarding SC responsibilities and will evaluate proposals in which the Buyer or Seller provide the SC function.</w:t>
      </w:r>
    </w:p>
    <w:p w14:paraId="079C578A" w14:textId="5FA86302" w:rsidR="00331280" w:rsidRDefault="00331280" w:rsidP="00331280">
      <w:pPr>
        <w:pStyle w:val="Default"/>
        <w:ind w:left="1440"/>
        <w:jc w:val="both"/>
        <w:rPr>
          <w:sz w:val="23"/>
          <w:szCs w:val="23"/>
        </w:rPr>
      </w:pPr>
      <w:r w:rsidRPr="00B13F52">
        <w:rPr>
          <w:b/>
          <w:sz w:val="23"/>
          <w:szCs w:val="23"/>
        </w:rPr>
        <w:t>x</w:t>
      </w:r>
      <w:r w:rsidR="006E7435">
        <w:rPr>
          <w:b/>
          <w:sz w:val="23"/>
          <w:szCs w:val="23"/>
        </w:rPr>
        <w:t>i</w:t>
      </w:r>
      <w:r w:rsidRPr="00B13F52">
        <w:rPr>
          <w:b/>
          <w:sz w:val="23"/>
          <w:szCs w:val="23"/>
        </w:rPr>
        <w:t>. Minimum Development Progress:</w:t>
      </w:r>
      <w:r>
        <w:rPr>
          <w:sz w:val="23"/>
          <w:szCs w:val="23"/>
        </w:rPr>
        <w:t xml:space="preserve"> </w:t>
      </w:r>
      <w:r w:rsidR="00622A32">
        <w:rPr>
          <w:sz w:val="23"/>
          <w:szCs w:val="23"/>
        </w:rPr>
        <w:t>To the extent that a proposed generating resource is not yet commercially operational, documentation substantiating achievement of the following development milestones must be provided by the respondent for each eligible generator, including</w:t>
      </w:r>
      <w:r>
        <w:rPr>
          <w:sz w:val="23"/>
          <w:szCs w:val="23"/>
        </w:rPr>
        <w:t xml:space="preserve">: 1) evidence of site control; and 2) evidence that respondent has submitted a generator interconnection application to the appropriate jurisdictional entity; provided, however, that if respondent has completed interconnection studies or executed an interconnection agreement, as applicable, respondent should provide copies of such materials, including applicable appendices.  Such documentation must be provided to </w:t>
      </w:r>
      <w:r w:rsidR="00366696">
        <w:rPr>
          <w:sz w:val="23"/>
          <w:szCs w:val="23"/>
        </w:rPr>
        <w:t>OCPA</w:t>
      </w:r>
      <w:r>
        <w:rPr>
          <w:sz w:val="23"/>
          <w:szCs w:val="23"/>
        </w:rPr>
        <w:t xml:space="preserve"> at the time of </w:t>
      </w:r>
      <w:r w:rsidR="004A154F">
        <w:rPr>
          <w:sz w:val="23"/>
          <w:szCs w:val="23"/>
        </w:rPr>
        <w:t xml:space="preserve">response </w:t>
      </w:r>
      <w:r>
        <w:rPr>
          <w:sz w:val="23"/>
          <w:szCs w:val="23"/>
        </w:rPr>
        <w:t>submittal.</w:t>
      </w:r>
    </w:p>
    <w:p w14:paraId="5E018FB7" w14:textId="52138C7A" w:rsidR="002E27C3" w:rsidRDefault="002E27C3" w:rsidP="00331280">
      <w:pPr>
        <w:pStyle w:val="Default"/>
        <w:ind w:left="1440"/>
        <w:jc w:val="both"/>
        <w:rPr>
          <w:sz w:val="23"/>
          <w:szCs w:val="23"/>
        </w:rPr>
      </w:pPr>
    </w:p>
    <w:p w14:paraId="33BF6F09" w14:textId="2BD7357A" w:rsidR="002E27C3" w:rsidRDefault="002E27C3" w:rsidP="00331280">
      <w:pPr>
        <w:pStyle w:val="Default"/>
        <w:ind w:left="1440"/>
        <w:jc w:val="both"/>
        <w:rPr>
          <w:sz w:val="23"/>
          <w:szCs w:val="23"/>
        </w:rPr>
      </w:pPr>
      <w:r w:rsidRPr="00B13F52">
        <w:rPr>
          <w:b/>
          <w:sz w:val="23"/>
          <w:szCs w:val="23"/>
        </w:rPr>
        <w:t>x</w:t>
      </w:r>
      <w:r>
        <w:rPr>
          <w:b/>
          <w:sz w:val="23"/>
          <w:szCs w:val="23"/>
        </w:rPr>
        <w:t>i</w:t>
      </w:r>
      <w:r w:rsidR="006E7435">
        <w:rPr>
          <w:b/>
          <w:sz w:val="23"/>
          <w:szCs w:val="23"/>
        </w:rPr>
        <w:t>i</w:t>
      </w:r>
      <w:r w:rsidRPr="00B13F52">
        <w:rPr>
          <w:b/>
          <w:sz w:val="23"/>
          <w:szCs w:val="23"/>
        </w:rPr>
        <w:t xml:space="preserve">. </w:t>
      </w:r>
      <w:r>
        <w:rPr>
          <w:b/>
          <w:sz w:val="23"/>
          <w:szCs w:val="23"/>
        </w:rPr>
        <w:t>Project Financing Plan</w:t>
      </w:r>
      <w:r w:rsidRPr="00B13F52">
        <w:rPr>
          <w:b/>
          <w:sz w:val="23"/>
          <w:szCs w:val="23"/>
        </w:rPr>
        <w:t>:</w:t>
      </w:r>
      <w:r>
        <w:rPr>
          <w:sz w:val="23"/>
          <w:szCs w:val="23"/>
        </w:rPr>
        <w:t xml:space="preserve"> Respondent shall describe its intended financing plan </w:t>
      </w:r>
      <w:r w:rsidR="006F00E4">
        <w:rPr>
          <w:sz w:val="23"/>
          <w:szCs w:val="23"/>
        </w:rPr>
        <w:t xml:space="preserve">for each proposed project </w:t>
      </w:r>
      <w:r>
        <w:rPr>
          <w:sz w:val="23"/>
          <w:szCs w:val="23"/>
        </w:rPr>
        <w:t xml:space="preserve">in sufficient detail for </w:t>
      </w:r>
      <w:r w:rsidR="00366696">
        <w:rPr>
          <w:sz w:val="23"/>
          <w:szCs w:val="23"/>
        </w:rPr>
        <w:t>OCPA</w:t>
      </w:r>
      <w:r>
        <w:rPr>
          <w:sz w:val="23"/>
          <w:szCs w:val="23"/>
        </w:rPr>
        <w:t xml:space="preserve"> </w:t>
      </w:r>
      <w:r w:rsidR="006F00E4">
        <w:rPr>
          <w:sz w:val="23"/>
          <w:szCs w:val="23"/>
        </w:rPr>
        <w:t xml:space="preserve">to effectively evaluate the viability of such arrangements.  To the extent that a respondent anticipates a joint project ownership structure, this structure shall be clearly articulated along with applicable ownership </w:t>
      </w:r>
      <w:r w:rsidR="006F00E4">
        <w:rPr>
          <w:sz w:val="23"/>
          <w:szCs w:val="23"/>
        </w:rPr>
        <w:lastRenderedPageBreak/>
        <w:t xml:space="preserve">percentages attributable to each partner.  Supporting documentation and discussion shall be provided by each respondent, consistent with the informational requirements specified in </w:t>
      </w:r>
      <w:r w:rsidR="000F7889">
        <w:rPr>
          <w:sz w:val="23"/>
          <w:szCs w:val="23"/>
        </w:rPr>
        <w:t>the</w:t>
      </w:r>
      <w:r w:rsidR="006F00E4">
        <w:rPr>
          <w:sz w:val="23"/>
          <w:szCs w:val="23"/>
        </w:rPr>
        <w:t xml:space="preserve"> RFP response template.</w:t>
      </w:r>
    </w:p>
    <w:p w14:paraId="0FFBC6CC" w14:textId="77777777" w:rsidR="00642AAA" w:rsidRDefault="00642AAA" w:rsidP="00331280">
      <w:pPr>
        <w:pStyle w:val="Default"/>
        <w:ind w:left="1440"/>
        <w:jc w:val="both"/>
        <w:rPr>
          <w:sz w:val="23"/>
          <w:szCs w:val="23"/>
        </w:rPr>
      </w:pPr>
    </w:p>
    <w:p w14:paraId="44FB0326" w14:textId="1380FD62" w:rsidR="00BC5500" w:rsidRPr="00BC5500" w:rsidRDefault="00BC5500" w:rsidP="00642AAA">
      <w:pPr>
        <w:pStyle w:val="Default"/>
        <w:jc w:val="both"/>
        <w:rPr>
          <w:b/>
          <w:sz w:val="23"/>
          <w:szCs w:val="23"/>
        </w:rPr>
      </w:pPr>
      <w:r w:rsidRPr="00BC5500">
        <w:rPr>
          <w:b/>
          <w:sz w:val="23"/>
          <w:szCs w:val="23"/>
        </w:rPr>
        <w:t xml:space="preserve">For </w:t>
      </w:r>
      <w:r w:rsidR="00887AAF">
        <w:rPr>
          <w:b/>
          <w:sz w:val="23"/>
          <w:szCs w:val="23"/>
        </w:rPr>
        <w:t xml:space="preserve">Incremental Capacity </w:t>
      </w:r>
      <w:r w:rsidRPr="00BC5500">
        <w:rPr>
          <w:b/>
          <w:sz w:val="23"/>
          <w:szCs w:val="23"/>
        </w:rPr>
        <w:t>Projects:</w:t>
      </w:r>
    </w:p>
    <w:p w14:paraId="40DC87B5" w14:textId="77777777" w:rsidR="00887AAF" w:rsidRPr="00887AAF" w:rsidRDefault="00887AAF" w:rsidP="00642AAA">
      <w:pPr>
        <w:pStyle w:val="Default"/>
        <w:jc w:val="both"/>
        <w:rPr>
          <w:sz w:val="12"/>
          <w:szCs w:val="12"/>
        </w:rPr>
      </w:pPr>
    </w:p>
    <w:p w14:paraId="7C2355BB" w14:textId="1EE0C80A" w:rsidR="007614A2" w:rsidRDefault="009C1489" w:rsidP="00642AAA">
      <w:pPr>
        <w:pStyle w:val="Default"/>
        <w:spacing w:after="120"/>
        <w:jc w:val="both"/>
      </w:pPr>
      <w:r>
        <w:t xml:space="preserve">Through this RFP, </w:t>
      </w:r>
      <w:r w:rsidR="00366696">
        <w:t>OCPA</w:t>
      </w:r>
      <w:r w:rsidR="00887AAF">
        <w:t xml:space="preserve"> </w:t>
      </w:r>
      <w:r w:rsidR="00366696">
        <w:t>is</w:t>
      </w:r>
      <w:r w:rsidR="00887AAF">
        <w:t xml:space="preserve"> </w:t>
      </w:r>
      <w:r>
        <w:t xml:space="preserve">also </w:t>
      </w:r>
      <w:r w:rsidR="00887AAF">
        <w:t xml:space="preserve">requesting proposals to meet the requirements of California Public Utilities Commission Decision </w:t>
      </w:r>
      <w:r w:rsidR="007F37E1">
        <w:t>26-02-057</w:t>
      </w:r>
      <w:r w:rsidR="00887AAF">
        <w:t xml:space="preserve">, </w:t>
      </w:r>
      <w:r w:rsidR="004F4C8C">
        <w:t xml:space="preserve">issued March 5, 2026, </w:t>
      </w:r>
      <w:r w:rsidR="00887AAF">
        <w:t xml:space="preserve">which ordered </w:t>
      </w:r>
      <w:r w:rsidR="007F37E1">
        <w:t xml:space="preserve">electric resource </w:t>
      </w:r>
      <w:r w:rsidR="00887AAF">
        <w:t xml:space="preserve">procurement </w:t>
      </w:r>
      <w:r w:rsidR="007F37E1">
        <w:t xml:space="preserve">during </w:t>
      </w:r>
      <w:r w:rsidR="00F75916">
        <w:t xml:space="preserve">the </w:t>
      </w:r>
      <w:r w:rsidR="007F37E1">
        <w:t>2029-2032</w:t>
      </w:r>
      <w:r w:rsidR="00F75916">
        <w:t xml:space="preserve"> calendar years. </w:t>
      </w:r>
    </w:p>
    <w:p w14:paraId="450D3884" w14:textId="303BAB31" w:rsidR="00887AAF" w:rsidRDefault="00887AAF" w:rsidP="00642AAA">
      <w:pPr>
        <w:pStyle w:val="Default"/>
        <w:spacing w:after="120"/>
        <w:jc w:val="both"/>
      </w:pPr>
      <w:r>
        <w:t>For a resource to be eligible for participation under this element of the RFP, it must:</w:t>
      </w:r>
    </w:p>
    <w:p w14:paraId="2A69017E" w14:textId="71453FFB" w:rsidR="00887AAF" w:rsidRDefault="00887AAF" w:rsidP="00642AAA">
      <w:pPr>
        <w:pStyle w:val="Default"/>
        <w:numPr>
          <w:ilvl w:val="0"/>
          <w:numId w:val="8"/>
        </w:numPr>
        <w:spacing w:after="120"/>
        <w:jc w:val="both"/>
      </w:pPr>
      <w:r>
        <w:t xml:space="preserve">Achieve commercial operation </w:t>
      </w:r>
      <w:r w:rsidR="00F75916">
        <w:t xml:space="preserve">no later than </w:t>
      </w:r>
      <w:r>
        <w:t>6/1/20</w:t>
      </w:r>
      <w:r w:rsidR="007F37E1">
        <w:t>30</w:t>
      </w:r>
      <w:r>
        <w:t>, 6/1/20</w:t>
      </w:r>
      <w:r w:rsidR="007F37E1">
        <w:t>31</w:t>
      </w:r>
      <w:r w:rsidR="00F75916">
        <w:t xml:space="preserve"> or</w:t>
      </w:r>
      <w:r w:rsidR="00366696">
        <w:t xml:space="preserve"> </w:t>
      </w:r>
      <w:r w:rsidR="007F37E1">
        <w:t>6/1/2032</w:t>
      </w:r>
      <w:r w:rsidR="00F75916">
        <w:t xml:space="preserve"> </w:t>
      </w:r>
      <w:r>
        <w:t xml:space="preserve">– </w:t>
      </w:r>
      <w:r w:rsidR="00F75916">
        <w:t xml:space="preserve">for the avoidance of doubt, this specification requires that the proposed capacity resource be </w:t>
      </w:r>
      <w:r>
        <w:t>full</w:t>
      </w:r>
      <w:r w:rsidR="00F75916">
        <w:t>y</w:t>
      </w:r>
      <w:r>
        <w:t xml:space="preserve"> operation</w:t>
      </w:r>
      <w:r w:rsidR="00F75916">
        <w:t xml:space="preserve">al such that related NQC can be appropriately reflected in an RA supply plan no later than one of the deadlines </w:t>
      </w:r>
      <w:r w:rsidR="00366696">
        <w:t>noted</w:t>
      </w:r>
      <w:r w:rsidR="00F75916">
        <w:t xml:space="preserve"> above</w:t>
      </w:r>
      <w:r>
        <w:t>;</w:t>
      </w:r>
    </w:p>
    <w:p w14:paraId="5CB1760C" w14:textId="2881C563" w:rsidR="00887AAF" w:rsidRDefault="00887AAF" w:rsidP="00642AAA">
      <w:pPr>
        <w:pStyle w:val="Default"/>
        <w:numPr>
          <w:ilvl w:val="0"/>
          <w:numId w:val="8"/>
        </w:numPr>
        <w:spacing w:after="120"/>
        <w:jc w:val="both"/>
      </w:pPr>
      <w:r>
        <w:t xml:space="preserve">Provide incremental RA, </w:t>
      </w:r>
      <w:proofErr w:type="gramStart"/>
      <w:r>
        <w:t>exclusive of</w:t>
      </w:r>
      <w:proofErr w:type="gramEnd"/>
      <w:r>
        <w:t xml:space="preserve"> the Baseline List of Resources;</w:t>
      </w:r>
    </w:p>
    <w:p w14:paraId="157E3B1D" w14:textId="5C28FBDA" w:rsidR="00887AAF" w:rsidRDefault="00887AAF" w:rsidP="00642AAA">
      <w:pPr>
        <w:pStyle w:val="Default"/>
        <w:numPr>
          <w:ilvl w:val="0"/>
          <w:numId w:val="8"/>
        </w:numPr>
        <w:spacing w:after="120"/>
        <w:jc w:val="both"/>
      </w:pPr>
      <w:r>
        <w:t>Remain available for a contract term of at least 10 years; and</w:t>
      </w:r>
    </w:p>
    <w:p w14:paraId="5E6C5524" w14:textId="5D32D9D7" w:rsidR="00887AAF" w:rsidRDefault="00887AAF" w:rsidP="00642AAA">
      <w:pPr>
        <w:pStyle w:val="Default"/>
        <w:numPr>
          <w:ilvl w:val="0"/>
          <w:numId w:val="8"/>
        </w:numPr>
        <w:spacing w:after="120"/>
        <w:jc w:val="both"/>
      </w:pPr>
      <w:r>
        <w:t>Utilize a non-fossil fuel source</w:t>
      </w:r>
      <w:r w:rsidR="00F75916">
        <w:t>, if associated with a generating resource</w:t>
      </w:r>
      <w:r>
        <w:t>.</w:t>
      </w:r>
    </w:p>
    <w:p w14:paraId="7420BC93" w14:textId="60CE6FB8" w:rsidR="00887AAF" w:rsidRDefault="000A0EF9" w:rsidP="00887AAF">
      <w:pPr>
        <w:pStyle w:val="Default"/>
        <w:keepNext/>
        <w:keepLines/>
        <w:spacing w:after="120"/>
        <w:jc w:val="both"/>
        <w:rPr>
          <w:sz w:val="23"/>
          <w:szCs w:val="23"/>
        </w:rPr>
      </w:pPr>
      <w:r w:rsidRPr="000A0EF9">
        <w:rPr>
          <w:sz w:val="23"/>
          <w:szCs w:val="23"/>
        </w:rPr>
        <w:t>Long Lead-time resources are broken down into two sub-categories: Firm zero-emitting</w:t>
      </w:r>
      <w:r>
        <w:rPr>
          <w:sz w:val="23"/>
          <w:szCs w:val="23"/>
        </w:rPr>
        <w:t xml:space="preserve"> </w:t>
      </w:r>
      <w:r w:rsidRPr="000A0EF9">
        <w:rPr>
          <w:sz w:val="23"/>
          <w:szCs w:val="23"/>
        </w:rPr>
        <w:t>resources and Long-duration storage resources.</w:t>
      </w:r>
    </w:p>
    <w:p w14:paraId="014B3AF2" w14:textId="6FAE8DD7" w:rsidR="00243D77" w:rsidRPr="00243D77" w:rsidRDefault="00243D77" w:rsidP="00C27EA6">
      <w:pPr>
        <w:autoSpaceDE w:val="0"/>
        <w:autoSpaceDN w:val="0"/>
        <w:adjustRightInd w:val="0"/>
        <w:spacing w:after="120" w:line="240" w:lineRule="auto"/>
        <w:rPr>
          <w:rFonts w:ascii="Calibri" w:hAnsi="Calibri" w:cs="Calibri"/>
          <w:color w:val="000000"/>
          <w:sz w:val="23"/>
          <w:szCs w:val="23"/>
        </w:rPr>
      </w:pPr>
      <w:r w:rsidRPr="00243D77">
        <w:rPr>
          <w:rFonts w:ascii="Calibri" w:hAnsi="Calibri" w:cs="Calibri"/>
          <w:color w:val="000000"/>
          <w:sz w:val="23"/>
          <w:szCs w:val="23"/>
        </w:rPr>
        <w:t xml:space="preserve">Firm zero-emitting resources must meet the </w:t>
      </w:r>
      <w:r>
        <w:rPr>
          <w:rFonts w:ascii="Calibri" w:hAnsi="Calibri" w:cs="Calibri"/>
          <w:color w:val="000000"/>
          <w:sz w:val="23"/>
          <w:szCs w:val="23"/>
        </w:rPr>
        <w:t xml:space="preserve">following </w:t>
      </w:r>
      <w:r w:rsidRPr="00243D77">
        <w:rPr>
          <w:rFonts w:ascii="Calibri" w:hAnsi="Calibri" w:cs="Calibri"/>
          <w:color w:val="000000"/>
          <w:sz w:val="23"/>
          <w:szCs w:val="23"/>
        </w:rPr>
        <w:t xml:space="preserve">additional attributes: </w:t>
      </w:r>
    </w:p>
    <w:p w14:paraId="7C14708A" w14:textId="29EA1A7F" w:rsidR="00C27EA6" w:rsidRPr="00C27EA6" w:rsidRDefault="00243D77" w:rsidP="00C27EA6">
      <w:pPr>
        <w:pStyle w:val="ListParagraph"/>
        <w:numPr>
          <w:ilvl w:val="0"/>
          <w:numId w:val="12"/>
        </w:numPr>
        <w:autoSpaceDE w:val="0"/>
        <w:autoSpaceDN w:val="0"/>
        <w:adjustRightInd w:val="0"/>
        <w:spacing w:before="120" w:after="240" w:line="240" w:lineRule="auto"/>
        <w:rPr>
          <w:rFonts w:ascii="Calibri" w:hAnsi="Calibri" w:cs="Calibri"/>
          <w:color w:val="000000"/>
          <w:sz w:val="23"/>
          <w:szCs w:val="23"/>
        </w:rPr>
      </w:pPr>
      <w:r w:rsidRPr="00243D77">
        <w:rPr>
          <w:rFonts w:ascii="Calibri" w:hAnsi="Calibri" w:cs="Calibri"/>
          <w:color w:val="000000"/>
          <w:sz w:val="23"/>
          <w:szCs w:val="23"/>
        </w:rPr>
        <w:t>Ha</w:t>
      </w:r>
      <w:r>
        <w:rPr>
          <w:rFonts w:ascii="Calibri" w:hAnsi="Calibri" w:cs="Calibri"/>
          <w:color w:val="000000"/>
          <w:sz w:val="23"/>
          <w:szCs w:val="23"/>
        </w:rPr>
        <w:t>ve</w:t>
      </w:r>
      <w:r w:rsidRPr="00243D77">
        <w:rPr>
          <w:rFonts w:ascii="Calibri" w:hAnsi="Calibri" w:cs="Calibri"/>
          <w:color w:val="000000"/>
          <w:sz w:val="23"/>
          <w:szCs w:val="23"/>
        </w:rPr>
        <w:t xml:space="preserve"> at least an 80 percent capacity factor</w:t>
      </w:r>
      <w:r>
        <w:rPr>
          <w:rFonts w:ascii="Calibri" w:hAnsi="Calibri" w:cs="Calibri"/>
          <w:color w:val="000000"/>
          <w:sz w:val="23"/>
          <w:szCs w:val="23"/>
        </w:rPr>
        <w:t>;</w:t>
      </w:r>
    </w:p>
    <w:p w14:paraId="3E2118C0" w14:textId="1A77AC29" w:rsidR="00243D77" w:rsidRDefault="00243D77" w:rsidP="00C27EA6">
      <w:pPr>
        <w:pStyle w:val="ListParagraph"/>
        <w:numPr>
          <w:ilvl w:val="0"/>
          <w:numId w:val="12"/>
        </w:numPr>
        <w:autoSpaceDE w:val="0"/>
        <w:autoSpaceDN w:val="0"/>
        <w:adjustRightInd w:val="0"/>
        <w:spacing w:before="120" w:after="120" w:line="240" w:lineRule="auto"/>
        <w:rPr>
          <w:rFonts w:ascii="Calibri" w:hAnsi="Calibri" w:cs="Calibri"/>
          <w:color w:val="000000"/>
          <w:sz w:val="23"/>
          <w:szCs w:val="23"/>
        </w:rPr>
      </w:pPr>
      <w:r>
        <w:rPr>
          <w:rFonts w:ascii="Calibri" w:hAnsi="Calibri" w:cs="Calibri"/>
          <w:color w:val="000000"/>
          <w:sz w:val="23"/>
          <w:szCs w:val="23"/>
        </w:rPr>
        <w:t xml:space="preserve">May not </w:t>
      </w:r>
      <w:r w:rsidRPr="00243D77">
        <w:rPr>
          <w:rFonts w:ascii="Calibri" w:hAnsi="Calibri" w:cs="Calibri"/>
          <w:color w:val="000000"/>
          <w:sz w:val="23"/>
          <w:szCs w:val="23"/>
        </w:rPr>
        <w:t>be use limited or weather dependent</w:t>
      </w:r>
      <w:r>
        <w:rPr>
          <w:rFonts w:ascii="Calibri" w:hAnsi="Calibri" w:cs="Calibri"/>
          <w:color w:val="000000"/>
          <w:sz w:val="23"/>
          <w:szCs w:val="23"/>
        </w:rPr>
        <w:t>;</w:t>
      </w:r>
      <w:r w:rsidR="00D0231A">
        <w:rPr>
          <w:rFonts w:ascii="Calibri" w:hAnsi="Calibri" w:cs="Calibri"/>
          <w:color w:val="000000"/>
          <w:sz w:val="23"/>
          <w:szCs w:val="23"/>
        </w:rPr>
        <w:t xml:space="preserve"> and</w:t>
      </w:r>
    </w:p>
    <w:p w14:paraId="716BA634" w14:textId="73C2B6FB" w:rsidR="00D0231A" w:rsidRDefault="00D0231A" w:rsidP="00C27EA6">
      <w:pPr>
        <w:pStyle w:val="ListParagraph"/>
        <w:numPr>
          <w:ilvl w:val="0"/>
          <w:numId w:val="12"/>
        </w:numPr>
        <w:autoSpaceDE w:val="0"/>
        <w:autoSpaceDN w:val="0"/>
        <w:adjustRightInd w:val="0"/>
        <w:spacing w:after="120" w:line="240" w:lineRule="auto"/>
        <w:rPr>
          <w:rFonts w:ascii="Calibri" w:hAnsi="Calibri" w:cs="Calibri"/>
          <w:color w:val="000000"/>
          <w:sz w:val="23"/>
          <w:szCs w:val="23"/>
        </w:rPr>
      </w:pPr>
      <w:r w:rsidRPr="00243D77">
        <w:rPr>
          <w:rFonts w:ascii="Calibri" w:hAnsi="Calibri" w:cs="Calibri"/>
          <w:color w:val="000000"/>
          <w:sz w:val="23"/>
          <w:szCs w:val="23"/>
        </w:rPr>
        <w:t>Cannot be a storage project</w:t>
      </w:r>
      <w:r>
        <w:rPr>
          <w:rFonts w:ascii="Calibri" w:hAnsi="Calibri" w:cs="Calibri"/>
          <w:color w:val="000000"/>
          <w:sz w:val="23"/>
          <w:szCs w:val="23"/>
        </w:rPr>
        <w:t>.</w:t>
      </w:r>
    </w:p>
    <w:p w14:paraId="60F544E1" w14:textId="0FF2C3C8" w:rsidR="000A0EF9" w:rsidRPr="00243D77" w:rsidRDefault="000A0EF9" w:rsidP="00243D77">
      <w:pPr>
        <w:autoSpaceDE w:val="0"/>
        <w:autoSpaceDN w:val="0"/>
        <w:adjustRightInd w:val="0"/>
        <w:spacing w:after="0" w:line="240" w:lineRule="auto"/>
        <w:rPr>
          <w:rFonts w:ascii="Calibri" w:hAnsi="Calibri" w:cs="Calibri"/>
          <w:color w:val="000000"/>
          <w:sz w:val="23"/>
          <w:szCs w:val="23"/>
        </w:rPr>
      </w:pPr>
      <w:r w:rsidRPr="00243D77">
        <w:rPr>
          <w:rFonts w:ascii="Calibri" w:hAnsi="Calibri" w:cs="Calibri"/>
          <w:color w:val="000000"/>
          <w:sz w:val="23"/>
          <w:szCs w:val="23"/>
        </w:rPr>
        <w:t xml:space="preserve">Long-duration storage resources must </w:t>
      </w:r>
      <w:r w:rsidR="00243D77">
        <w:rPr>
          <w:rFonts w:ascii="Calibri" w:hAnsi="Calibri" w:cs="Calibri"/>
          <w:color w:val="000000"/>
          <w:sz w:val="23"/>
          <w:szCs w:val="23"/>
        </w:rPr>
        <w:t xml:space="preserve">be capable of </w:t>
      </w:r>
      <w:r w:rsidRPr="00243D77">
        <w:rPr>
          <w:rFonts w:ascii="Calibri" w:hAnsi="Calibri" w:cs="Calibri"/>
          <w:color w:val="000000"/>
          <w:sz w:val="23"/>
          <w:szCs w:val="23"/>
        </w:rPr>
        <w:t>discharge at maximum capacity for 8 continuous hours from a single storage resource</w:t>
      </w:r>
      <w:r w:rsidR="00243D77">
        <w:rPr>
          <w:rFonts w:ascii="Calibri" w:hAnsi="Calibri" w:cs="Calibri"/>
          <w:color w:val="000000"/>
          <w:sz w:val="23"/>
          <w:szCs w:val="23"/>
        </w:rPr>
        <w:t>.</w:t>
      </w:r>
      <w:r w:rsidRPr="00243D77">
        <w:rPr>
          <w:rFonts w:ascii="Calibri" w:hAnsi="Calibri" w:cs="Calibri"/>
          <w:color w:val="000000"/>
          <w:sz w:val="23"/>
          <w:szCs w:val="23"/>
        </w:rPr>
        <w:t xml:space="preserve"> </w:t>
      </w:r>
    </w:p>
    <w:p w14:paraId="6AA0C60D" w14:textId="77777777" w:rsidR="000A0EF9" w:rsidRPr="000A0EF9" w:rsidRDefault="000A0EF9" w:rsidP="00887AAF">
      <w:pPr>
        <w:pStyle w:val="Default"/>
        <w:keepNext/>
        <w:keepLines/>
        <w:spacing w:after="120"/>
        <w:jc w:val="both"/>
        <w:rPr>
          <w:sz w:val="23"/>
          <w:szCs w:val="23"/>
        </w:rPr>
      </w:pPr>
    </w:p>
    <w:p w14:paraId="5E6494CF" w14:textId="60B565FE" w:rsidR="000F7889" w:rsidRDefault="00624B37" w:rsidP="000F7889">
      <w:pPr>
        <w:pStyle w:val="Default"/>
        <w:spacing w:after="120"/>
        <w:jc w:val="both"/>
        <w:rPr>
          <w:b/>
          <w:bCs/>
          <w:sz w:val="23"/>
          <w:szCs w:val="23"/>
        </w:rPr>
      </w:pPr>
      <w:r w:rsidRPr="000F7889">
        <w:rPr>
          <w:b/>
          <w:bCs/>
          <w:sz w:val="23"/>
          <w:szCs w:val="23"/>
          <w:u w:val="single"/>
        </w:rPr>
        <w:t>Transfer of Environmental Attributes/Renewable Energy Certificates</w:t>
      </w:r>
    </w:p>
    <w:p w14:paraId="57AF023A" w14:textId="440E7218" w:rsidR="00624B37" w:rsidRDefault="00624B37" w:rsidP="00B37D61">
      <w:pPr>
        <w:pStyle w:val="Default"/>
        <w:jc w:val="both"/>
        <w:rPr>
          <w:sz w:val="23"/>
          <w:szCs w:val="23"/>
        </w:rPr>
      </w:pPr>
      <w:r>
        <w:rPr>
          <w:sz w:val="23"/>
          <w:szCs w:val="23"/>
        </w:rPr>
        <w:t>As part of the proposed transaction</w:t>
      </w:r>
      <w:r w:rsidR="009152B7">
        <w:rPr>
          <w:sz w:val="23"/>
          <w:szCs w:val="23"/>
        </w:rPr>
        <w:t xml:space="preserve"> associated with any renewable energy product</w:t>
      </w:r>
      <w:r>
        <w:rPr>
          <w:sz w:val="23"/>
          <w:szCs w:val="23"/>
        </w:rPr>
        <w:t xml:space="preserve">, all Environmental Attributes/Renewable Energy Certificates must be </w:t>
      </w:r>
      <w:r w:rsidR="007B160A">
        <w:rPr>
          <w:sz w:val="23"/>
          <w:szCs w:val="23"/>
        </w:rPr>
        <w:t xml:space="preserve">created </w:t>
      </w:r>
      <w:r w:rsidR="00C27EA6">
        <w:rPr>
          <w:sz w:val="23"/>
          <w:szCs w:val="23"/>
        </w:rPr>
        <w:t>within</w:t>
      </w:r>
      <w:r>
        <w:rPr>
          <w:sz w:val="23"/>
          <w:szCs w:val="23"/>
        </w:rPr>
        <w:t xml:space="preserve"> and transferred </w:t>
      </w:r>
      <w:r w:rsidR="00A1427F">
        <w:rPr>
          <w:sz w:val="23"/>
          <w:szCs w:val="23"/>
        </w:rPr>
        <w:t xml:space="preserve">to </w:t>
      </w:r>
      <w:r w:rsidR="00366696">
        <w:rPr>
          <w:sz w:val="23"/>
          <w:szCs w:val="23"/>
        </w:rPr>
        <w:t>OCPA</w:t>
      </w:r>
      <w:r w:rsidR="00A1427F">
        <w:rPr>
          <w:sz w:val="23"/>
          <w:szCs w:val="23"/>
        </w:rPr>
        <w:t xml:space="preserve"> </w:t>
      </w:r>
      <w:r>
        <w:rPr>
          <w:sz w:val="23"/>
          <w:szCs w:val="23"/>
        </w:rPr>
        <w:t xml:space="preserve">via the Western Renewable Energy Generation Information System </w:t>
      </w:r>
      <w:r w:rsidR="00A1427F">
        <w:rPr>
          <w:sz w:val="23"/>
          <w:szCs w:val="23"/>
        </w:rPr>
        <w:t>(“</w:t>
      </w:r>
      <w:r>
        <w:rPr>
          <w:sz w:val="23"/>
          <w:szCs w:val="23"/>
        </w:rPr>
        <w:t>W</w:t>
      </w:r>
      <w:r w:rsidR="002060D4">
        <w:rPr>
          <w:sz w:val="23"/>
          <w:szCs w:val="23"/>
        </w:rPr>
        <w:t>REGIS</w:t>
      </w:r>
      <w:r w:rsidR="00A1427F">
        <w:rPr>
          <w:sz w:val="23"/>
          <w:szCs w:val="23"/>
        </w:rPr>
        <w:t xml:space="preserve">”), </w:t>
      </w:r>
      <w:r w:rsidR="002060D4">
        <w:rPr>
          <w:sz w:val="23"/>
          <w:szCs w:val="23"/>
        </w:rPr>
        <w:t>or its successor</w:t>
      </w:r>
      <w:r w:rsidR="00A1427F">
        <w:rPr>
          <w:sz w:val="23"/>
          <w:szCs w:val="23"/>
        </w:rPr>
        <w:t>,</w:t>
      </w:r>
      <w:r w:rsidR="002060D4">
        <w:rPr>
          <w:sz w:val="23"/>
          <w:szCs w:val="23"/>
        </w:rPr>
        <w:t xml:space="preserve"> </w:t>
      </w:r>
      <w:r>
        <w:rPr>
          <w:sz w:val="23"/>
          <w:szCs w:val="23"/>
        </w:rPr>
        <w:t>without any additional costs or conditions</w:t>
      </w:r>
      <w:r w:rsidR="00A1427F">
        <w:rPr>
          <w:sz w:val="23"/>
          <w:szCs w:val="23"/>
        </w:rPr>
        <w:t xml:space="preserve"> to </w:t>
      </w:r>
      <w:r w:rsidR="00366696">
        <w:rPr>
          <w:sz w:val="23"/>
          <w:szCs w:val="23"/>
        </w:rPr>
        <w:t>OCPA</w:t>
      </w:r>
      <w:r>
        <w:rPr>
          <w:sz w:val="23"/>
          <w:szCs w:val="23"/>
        </w:rPr>
        <w:t>.</w:t>
      </w:r>
      <w:r w:rsidR="004A154F">
        <w:rPr>
          <w:sz w:val="23"/>
          <w:szCs w:val="23"/>
        </w:rPr>
        <w:t xml:space="preserve">  Each respondent shall be independently responsible for registering its generating project(s) with WREGIS and for maintaining an active WREGIS account throughout the proposed term of agreement.  </w:t>
      </w:r>
      <w:r>
        <w:rPr>
          <w:sz w:val="23"/>
          <w:szCs w:val="23"/>
        </w:rPr>
        <w:t xml:space="preserve"> </w:t>
      </w:r>
    </w:p>
    <w:p w14:paraId="6FF55DC8" w14:textId="77777777" w:rsidR="002B3704" w:rsidRDefault="002B3704" w:rsidP="00B37D61">
      <w:pPr>
        <w:pStyle w:val="Default"/>
        <w:jc w:val="both"/>
        <w:rPr>
          <w:b/>
          <w:bCs/>
          <w:sz w:val="23"/>
          <w:szCs w:val="23"/>
        </w:rPr>
      </w:pPr>
    </w:p>
    <w:p w14:paraId="7FC91515" w14:textId="77777777" w:rsidR="000F7889" w:rsidRDefault="00EE5685" w:rsidP="000F7889">
      <w:pPr>
        <w:pStyle w:val="Default"/>
        <w:keepNext/>
        <w:keepLines/>
        <w:spacing w:after="120"/>
        <w:jc w:val="both"/>
        <w:rPr>
          <w:b/>
          <w:bCs/>
          <w:sz w:val="23"/>
          <w:szCs w:val="23"/>
        </w:rPr>
      </w:pPr>
      <w:r w:rsidRPr="00F2381E">
        <w:rPr>
          <w:b/>
          <w:bCs/>
          <w:sz w:val="23"/>
          <w:szCs w:val="23"/>
          <w:u w:val="single"/>
        </w:rPr>
        <w:lastRenderedPageBreak/>
        <w:t>RFP</w:t>
      </w:r>
      <w:r w:rsidR="00624B37" w:rsidRPr="00F2381E">
        <w:rPr>
          <w:b/>
          <w:bCs/>
          <w:sz w:val="23"/>
          <w:szCs w:val="23"/>
          <w:u w:val="single"/>
        </w:rPr>
        <w:t xml:space="preserve"> Schedule</w:t>
      </w:r>
      <w:r w:rsidR="00072263" w:rsidRPr="00F2381E">
        <w:rPr>
          <w:b/>
          <w:bCs/>
          <w:sz w:val="23"/>
          <w:szCs w:val="23"/>
        </w:rPr>
        <w:t>*</w:t>
      </w:r>
    </w:p>
    <w:p w14:paraId="72ACC6A4" w14:textId="02028462" w:rsidR="009E7832" w:rsidRDefault="00624B37" w:rsidP="006F00E4">
      <w:pPr>
        <w:pStyle w:val="Default"/>
        <w:keepNext/>
        <w:keepLines/>
        <w:spacing w:after="200"/>
        <w:jc w:val="both"/>
        <w:rPr>
          <w:sz w:val="23"/>
          <w:szCs w:val="23"/>
        </w:rPr>
      </w:pPr>
      <w:r>
        <w:rPr>
          <w:sz w:val="23"/>
          <w:szCs w:val="23"/>
        </w:rPr>
        <w:t>Th</w:t>
      </w:r>
      <w:r w:rsidR="009E7832">
        <w:rPr>
          <w:sz w:val="23"/>
          <w:szCs w:val="23"/>
        </w:rPr>
        <w:t xml:space="preserve">is RFP </w:t>
      </w:r>
      <w:r w:rsidR="003A0221">
        <w:rPr>
          <w:sz w:val="23"/>
          <w:szCs w:val="23"/>
        </w:rPr>
        <w:t xml:space="preserve">will be </w:t>
      </w:r>
      <w:r w:rsidRPr="00AE0B97">
        <w:rPr>
          <w:sz w:val="23"/>
          <w:szCs w:val="23"/>
        </w:rPr>
        <w:t xml:space="preserve">administered </w:t>
      </w:r>
      <w:r w:rsidR="006F00E4">
        <w:rPr>
          <w:sz w:val="23"/>
          <w:szCs w:val="23"/>
        </w:rPr>
        <w:t>in consideration of</w:t>
      </w:r>
      <w:r w:rsidRPr="00AE0B97">
        <w:rPr>
          <w:sz w:val="23"/>
          <w:szCs w:val="23"/>
        </w:rPr>
        <w:t xml:space="preserve"> the following schedule: </w:t>
      </w:r>
    </w:p>
    <w:p w14:paraId="359D5475" w14:textId="51D244B1" w:rsidR="008B1E17" w:rsidRDefault="00021E3D" w:rsidP="00893738">
      <w:pPr>
        <w:pStyle w:val="Default"/>
        <w:keepNext/>
        <w:keepLines/>
        <w:spacing w:after="200"/>
        <w:jc w:val="both"/>
        <w:rPr>
          <w:sz w:val="23"/>
          <w:szCs w:val="23"/>
        </w:rPr>
      </w:pPr>
      <w:r>
        <w:rPr>
          <w:noProof/>
        </w:rPr>
        <w:drawing>
          <wp:inline distT="0" distB="0" distL="0" distR="0" wp14:anchorId="30A7DF79" wp14:editId="0AF15B2D">
            <wp:extent cx="6289675" cy="2393315"/>
            <wp:effectExtent l="0" t="0" r="0" b="6985"/>
            <wp:docPr id="3" name="table" descr="The image outlines a timeline for RFP (Request for Proposal) activities, including issuance, question submission deadlines, follow-up, short-list notifications, contract negotiations, and execution, all occurring within the timeframe of June to November 2026.&#10;&#10;AI-generated content may be incorrect.">
              <a:extLst xmlns:a="http://schemas.openxmlformats.org/drawingml/2006/main">
                <a:ext uri="{FF2B5EF4-FFF2-40B4-BE49-F238E27FC236}">
                  <a16:creationId xmlns:a16="http://schemas.microsoft.com/office/drawing/2014/main" id="{144DA36C-1320-DCEF-7938-8453492365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descr="The image outlines a timeline for RFP (Request for Proposal) activities, including issuance, question submission deadlines, follow-up, short-list notifications, contract negotiations, and execution, all occurring within the timeframe of June to November 2026.&#10;&#10;AI-generated content may be incorrect.">
                      <a:extLst>
                        <a:ext uri="{FF2B5EF4-FFF2-40B4-BE49-F238E27FC236}">
                          <a16:creationId xmlns:a16="http://schemas.microsoft.com/office/drawing/2014/main" id="{144DA36C-1320-DCEF-7938-845349236504}"/>
                        </a:ext>
                      </a:extLst>
                    </pic:cNvPr>
                    <pic:cNvPicPr>
                      <a:picLocks noChangeAspect="1"/>
                    </pic:cNvPicPr>
                  </pic:nvPicPr>
                  <pic:blipFill>
                    <a:blip r:embed="rId14"/>
                    <a:stretch>
                      <a:fillRect/>
                    </a:stretch>
                  </pic:blipFill>
                  <pic:spPr>
                    <a:xfrm>
                      <a:off x="0" y="0"/>
                      <a:ext cx="6289675" cy="2393315"/>
                    </a:xfrm>
                    <a:prstGeom prst="rect">
                      <a:avLst/>
                    </a:prstGeom>
                  </pic:spPr>
                </pic:pic>
              </a:graphicData>
            </a:graphic>
          </wp:inline>
        </w:drawing>
      </w:r>
    </w:p>
    <w:p w14:paraId="5425C5B9" w14:textId="793BE792" w:rsidR="001E1A4E" w:rsidRDefault="001E1A4E" w:rsidP="00893738">
      <w:pPr>
        <w:pStyle w:val="Default"/>
        <w:ind w:firstLine="187"/>
        <w:jc w:val="both"/>
        <w:rPr>
          <w:sz w:val="20"/>
          <w:szCs w:val="23"/>
        </w:rPr>
      </w:pPr>
      <w:r>
        <w:rPr>
          <w:sz w:val="20"/>
          <w:szCs w:val="23"/>
        </w:rPr>
        <w:t>*</w:t>
      </w:r>
      <w:r w:rsidR="00366696">
        <w:rPr>
          <w:sz w:val="20"/>
          <w:szCs w:val="23"/>
        </w:rPr>
        <w:t>OCPA</w:t>
      </w:r>
      <w:r w:rsidR="000F7889">
        <w:rPr>
          <w:sz w:val="20"/>
          <w:szCs w:val="23"/>
        </w:rPr>
        <w:t xml:space="preserve"> reserve</w:t>
      </w:r>
      <w:r w:rsidR="00C27EA6">
        <w:rPr>
          <w:sz w:val="20"/>
          <w:szCs w:val="23"/>
        </w:rPr>
        <w:t>s</w:t>
      </w:r>
      <w:r w:rsidRPr="001E1A4E">
        <w:rPr>
          <w:sz w:val="20"/>
          <w:szCs w:val="23"/>
        </w:rPr>
        <w:t xml:space="preserve"> the right to change the schedule of these events at any time for any reason</w:t>
      </w:r>
      <w:r w:rsidR="00F75916">
        <w:rPr>
          <w:sz w:val="20"/>
          <w:szCs w:val="23"/>
        </w:rPr>
        <w:t>.</w:t>
      </w:r>
    </w:p>
    <w:p w14:paraId="05D22D98" w14:textId="77777777" w:rsidR="00072263" w:rsidRPr="001E1A4E" w:rsidRDefault="00072263" w:rsidP="00072263">
      <w:pPr>
        <w:pStyle w:val="Default"/>
        <w:ind w:left="187"/>
        <w:jc w:val="both"/>
        <w:rPr>
          <w:sz w:val="20"/>
          <w:szCs w:val="23"/>
        </w:rPr>
      </w:pPr>
    </w:p>
    <w:p w14:paraId="385FEEA5" w14:textId="55490BB5" w:rsidR="000053EF" w:rsidRPr="00E96CD3" w:rsidRDefault="000053EF" w:rsidP="00171C82">
      <w:pPr>
        <w:pStyle w:val="Default"/>
        <w:spacing w:before="120"/>
        <w:rPr>
          <w:sz w:val="23"/>
          <w:szCs w:val="23"/>
        </w:rPr>
      </w:pPr>
      <w:r w:rsidRPr="00E96CD3">
        <w:rPr>
          <w:sz w:val="23"/>
          <w:szCs w:val="23"/>
        </w:rPr>
        <w:t xml:space="preserve">Respondents may submit questions to </w:t>
      </w:r>
      <w:r w:rsidR="00366696">
        <w:rPr>
          <w:sz w:val="23"/>
          <w:szCs w:val="23"/>
        </w:rPr>
        <w:t>OCPA</w:t>
      </w:r>
      <w:r w:rsidRPr="00E96CD3">
        <w:rPr>
          <w:sz w:val="23"/>
          <w:szCs w:val="23"/>
        </w:rPr>
        <w:t xml:space="preserve"> regarding this RFP process and associated materials no later than 5:00 P.M. PPT on </w:t>
      </w:r>
      <w:r w:rsidR="00C27EA6">
        <w:rPr>
          <w:sz w:val="23"/>
          <w:szCs w:val="23"/>
        </w:rPr>
        <w:t>July 9</w:t>
      </w:r>
      <w:r w:rsidR="00921613">
        <w:rPr>
          <w:sz w:val="23"/>
          <w:szCs w:val="23"/>
        </w:rPr>
        <w:t>, 202</w:t>
      </w:r>
      <w:r w:rsidR="009A76A0">
        <w:rPr>
          <w:sz w:val="23"/>
          <w:szCs w:val="23"/>
        </w:rPr>
        <w:t>6</w:t>
      </w:r>
      <w:r w:rsidRPr="00E96CD3">
        <w:rPr>
          <w:sz w:val="23"/>
          <w:szCs w:val="23"/>
        </w:rPr>
        <w:t xml:space="preserve">.  All questions should be submitted electronically to </w:t>
      </w:r>
      <w:hyperlink r:id="rId15" w:history="1">
        <w:r w:rsidR="00EE6B18" w:rsidRPr="00601EB0">
          <w:rPr>
            <w:rStyle w:val="Hyperlink"/>
          </w:rPr>
          <w:t>www.bidnetdirect.com</w:t>
        </w:r>
      </w:hyperlink>
      <w:r w:rsidR="002F3108">
        <w:rPr>
          <w:u w:val="single"/>
        </w:rPr>
        <w:t xml:space="preserve">. </w:t>
      </w:r>
      <w:r w:rsidR="00152134" w:rsidRPr="00152134">
        <w:rPr>
          <w:sz w:val="23"/>
          <w:szCs w:val="23"/>
        </w:rPr>
        <w:t xml:space="preserve">Bidnetdirect.com will be the official </w:t>
      </w:r>
      <w:proofErr w:type="gramStart"/>
      <w:r w:rsidR="00152134" w:rsidRPr="00152134">
        <w:rPr>
          <w:sz w:val="23"/>
          <w:szCs w:val="23"/>
        </w:rPr>
        <w:t>notification posting</w:t>
      </w:r>
      <w:proofErr w:type="gramEnd"/>
      <w:r w:rsidR="00152134" w:rsidRPr="00152134">
        <w:rPr>
          <w:sz w:val="23"/>
          <w:szCs w:val="23"/>
        </w:rPr>
        <w:t xml:space="preserve"> place </w:t>
      </w:r>
      <w:proofErr w:type="gramStart"/>
      <w:r w:rsidR="00152134" w:rsidRPr="00152134">
        <w:rPr>
          <w:sz w:val="23"/>
          <w:szCs w:val="23"/>
        </w:rPr>
        <w:t>of</w:t>
      </w:r>
      <w:proofErr w:type="gramEnd"/>
      <w:r w:rsidR="00152134" w:rsidRPr="00152134">
        <w:rPr>
          <w:sz w:val="23"/>
          <w:szCs w:val="23"/>
        </w:rPr>
        <w:t xml:space="preserve"> all Requests for Interest, Proposals, Quotes and Addenda. </w:t>
      </w:r>
    </w:p>
    <w:p w14:paraId="174458B9" w14:textId="1ADCDB60" w:rsidR="006F00E4" w:rsidRPr="00D02FA7" w:rsidRDefault="00366696" w:rsidP="002E27C3">
      <w:pPr>
        <w:pStyle w:val="Default"/>
        <w:spacing w:before="120" w:after="200"/>
        <w:jc w:val="both"/>
        <w:rPr>
          <w:sz w:val="23"/>
          <w:szCs w:val="23"/>
        </w:rPr>
      </w:pPr>
      <w:r>
        <w:rPr>
          <w:sz w:val="23"/>
          <w:szCs w:val="23"/>
        </w:rPr>
        <w:t>OCPA</w:t>
      </w:r>
      <w:r w:rsidR="000053EF" w:rsidRPr="00D02FA7">
        <w:rPr>
          <w:sz w:val="23"/>
          <w:szCs w:val="23"/>
        </w:rPr>
        <w:t xml:space="preserve"> may submit clarifying questions to certain respondents or conduct interviews, as necessary, based on information provided in the response template and/or supporting materials included with each response. </w:t>
      </w:r>
      <w:r>
        <w:rPr>
          <w:sz w:val="23"/>
          <w:szCs w:val="23"/>
        </w:rPr>
        <w:t>OCPA</w:t>
      </w:r>
      <w:r w:rsidR="000053EF" w:rsidRPr="00D02FA7">
        <w:rPr>
          <w:sz w:val="23"/>
          <w:szCs w:val="23"/>
        </w:rPr>
        <w:t xml:space="preserve"> shall have the right, at </w:t>
      </w:r>
      <w:r w:rsidR="00C27EA6">
        <w:rPr>
          <w:sz w:val="23"/>
          <w:szCs w:val="23"/>
        </w:rPr>
        <w:t>its</w:t>
      </w:r>
      <w:r w:rsidR="00921613" w:rsidRPr="00D02FA7">
        <w:rPr>
          <w:sz w:val="23"/>
          <w:szCs w:val="23"/>
        </w:rPr>
        <w:t xml:space="preserve"> </w:t>
      </w:r>
      <w:r w:rsidR="000053EF" w:rsidRPr="00D02FA7">
        <w:rPr>
          <w:sz w:val="23"/>
          <w:szCs w:val="23"/>
        </w:rPr>
        <w:t xml:space="preserve">sole discretion, to request information without notifying other respondents. </w:t>
      </w:r>
      <w:r>
        <w:rPr>
          <w:sz w:val="23"/>
          <w:szCs w:val="23"/>
        </w:rPr>
        <w:t>OCPA</w:t>
      </w:r>
      <w:r w:rsidR="000053EF" w:rsidRPr="00D02FA7">
        <w:rPr>
          <w:sz w:val="23"/>
          <w:szCs w:val="23"/>
        </w:rPr>
        <w:t xml:space="preserve"> shall establish due dates for responses at the time of each informational request</w:t>
      </w:r>
      <w:r w:rsidR="00EA0447" w:rsidRPr="00D02FA7">
        <w:rPr>
          <w:sz w:val="23"/>
          <w:szCs w:val="23"/>
        </w:rPr>
        <w:t xml:space="preserve"> and</w:t>
      </w:r>
      <w:r w:rsidR="006F00E4" w:rsidRPr="00D02FA7">
        <w:rPr>
          <w:sz w:val="23"/>
          <w:szCs w:val="23"/>
        </w:rPr>
        <w:t xml:space="preserve"> will directly notify individual respondents </w:t>
      </w:r>
      <w:proofErr w:type="gramStart"/>
      <w:r w:rsidR="006F00E4" w:rsidRPr="00D02FA7">
        <w:rPr>
          <w:sz w:val="23"/>
          <w:szCs w:val="23"/>
        </w:rPr>
        <w:t>in the event that</w:t>
      </w:r>
      <w:proofErr w:type="gramEnd"/>
      <w:r w:rsidR="006F00E4" w:rsidRPr="00D02FA7">
        <w:rPr>
          <w:sz w:val="23"/>
          <w:szCs w:val="23"/>
        </w:rPr>
        <w:t xml:space="preserve"> follow-up and/or interviews are necessary during this process.</w:t>
      </w:r>
    </w:p>
    <w:p w14:paraId="0AE4F34E" w14:textId="4A4C716D" w:rsidR="000053EF" w:rsidRPr="00E96CD3" w:rsidRDefault="000053EF" w:rsidP="000053EF">
      <w:pPr>
        <w:pStyle w:val="Default"/>
        <w:spacing w:before="120" w:after="200"/>
        <w:jc w:val="both"/>
        <w:rPr>
          <w:sz w:val="23"/>
          <w:szCs w:val="23"/>
        </w:rPr>
      </w:pPr>
      <w:r w:rsidRPr="00E96CD3">
        <w:rPr>
          <w:sz w:val="23"/>
          <w:szCs w:val="23"/>
        </w:rPr>
        <w:t>Note</w:t>
      </w:r>
      <w:r w:rsidR="00B32759">
        <w:rPr>
          <w:sz w:val="23"/>
          <w:szCs w:val="23"/>
        </w:rPr>
        <w:t xml:space="preserve"> regarding the submittal of RFP responses</w:t>
      </w:r>
      <w:r w:rsidRPr="00E96CD3">
        <w:rPr>
          <w:sz w:val="23"/>
          <w:szCs w:val="23"/>
        </w:rPr>
        <w:t xml:space="preserve">: only electronic submittals will be accepted; such submittals must be received by </w:t>
      </w:r>
      <w:r w:rsidR="00366696">
        <w:rPr>
          <w:sz w:val="23"/>
          <w:szCs w:val="23"/>
        </w:rPr>
        <w:t>OCPA</w:t>
      </w:r>
      <w:r w:rsidRPr="00E96CD3">
        <w:rPr>
          <w:sz w:val="23"/>
          <w:szCs w:val="23"/>
        </w:rPr>
        <w:t xml:space="preserve"> no later than 5:00 P.M. PPT on </w:t>
      </w:r>
      <w:r w:rsidR="003E1210">
        <w:rPr>
          <w:sz w:val="23"/>
          <w:szCs w:val="23"/>
        </w:rPr>
        <w:t>Friday</w:t>
      </w:r>
      <w:r w:rsidR="00C27EA6">
        <w:rPr>
          <w:sz w:val="23"/>
          <w:szCs w:val="23"/>
        </w:rPr>
        <w:t xml:space="preserve">, </w:t>
      </w:r>
      <w:r w:rsidR="00E57079">
        <w:rPr>
          <w:sz w:val="23"/>
          <w:szCs w:val="23"/>
        </w:rPr>
        <w:t xml:space="preserve">August </w:t>
      </w:r>
      <w:r w:rsidR="003E1210">
        <w:rPr>
          <w:sz w:val="23"/>
          <w:szCs w:val="23"/>
        </w:rPr>
        <w:t>7</w:t>
      </w:r>
      <w:r w:rsidR="00C27EA6">
        <w:rPr>
          <w:sz w:val="23"/>
          <w:szCs w:val="23"/>
        </w:rPr>
        <w:t>,</w:t>
      </w:r>
      <w:r w:rsidR="00921613">
        <w:rPr>
          <w:sz w:val="23"/>
          <w:szCs w:val="23"/>
        </w:rPr>
        <w:t xml:space="preserve"> 202</w:t>
      </w:r>
      <w:r w:rsidR="009A76A0">
        <w:rPr>
          <w:sz w:val="23"/>
          <w:szCs w:val="23"/>
        </w:rPr>
        <w:t>6</w:t>
      </w:r>
      <w:r w:rsidRPr="00E96CD3">
        <w:rPr>
          <w:sz w:val="23"/>
          <w:szCs w:val="23"/>
        </w:rPr>
        <w:t>.</w:t>
      </w:r>
      <w:r w:rsidR="00D02FA7" w:rsidRPr="00E96CD3">
        <w:rPr>
          <w:sz w:val="23"/>
          <w:szCs w:val="23"/>
        </w:rPr>
        <w:t xml:space="preserve"> </w:t>
      </w:r>
      <w:r w:rsidRPr="00E96CD3">
        <w:rPr>
          <w:sz w:val="23"/>
          <w:szCs w:val="23"/>
        </w:rPr>
        <w:t xml:space="preserve"> All responses should be submitted to</w:t>
      </w:r>
      <w:r w:rsidR="00EE6B18">
        <w:rPr>
          <w:sz w:val="23"/>
          <w:szCs w:val="23"/>
        </w:rPr>
        <w:t xml:space="preserve"> </w:t>
      </w:r>
      <w:hyperlink r:id="rId16" w:history="1">
        <w:r w:rsidR="00EE6B18" w:rsidRPr="00601EB0">
          <w:rPr>
            <w:rStyle w:val="Hyperlink"/>
          </w:rPr>
          <w:t>www.bidnetdirect.com</w:t>
        </w:r>
      </w:hyperlink>
      <w:r w:rsidR="00EE6B18" w:rsidRPr="00601EB0">
        <w:rPr>
          <w:u w:val="single"/>
        </w:rPr>
        <w:t>,</w:t>
      </w:r>
      <w:r w:rsidR="00EE6B18" w:rsidRPr="00601EB0">
        <w:t xml:space="preserve"> which is a free platform </w:t>
      </w:r>
      <w:proofErr w:type="gramStart"/>
      <w:r w:rsidR="00EE6B18" w:rsidRPr="00601EB0">
        <w:t>to</w:t>
      </w:r>
      <w:proofErr w:type="gramEnd"/>
      <w:r w:rsidR="00EE6B18" w:rsidRPr="00601EB0">
        <w:t xml:space="preserve"> applicants. If bidnetdirect.com creates a hardship, please email submissions in PDF format to </w:t>
      </w:r>
      <w:hyperlink r:id="rId17" w:history="1">
        <w:r w:rsidR="00EE6B18" w:rsidRPr="00601EB0">
          <w:rPr>
            <w:rStyle w:val="Hyperlink"/>
          </w:rPr>
          <w:t>powerresources@ocpower.org</w:t>
        </w:r>
      </w:hyperlink>
      <w:r w:rsidRPr="00E96CD3">
        <w:rPr>
          <w:sz w:val="23"/>
          <w:szCs w:val="23"/>
        </w:rPr>
        <w:t xml:space="preserve"> and must include the following subject line: “</w:t>
      </w:r>
      <w:r w:rsidR="00D02FA7" w:rsidRPr="00E96CD3">
        <w:rPr>
          <w:sz w:val="23"/>
          <w:szCs w:val="23"/>
        </w:rPr>
        <w:t xml:space="preserve">Response to </w:t>
      </w:r>
      <w:r w:rsidR="009E31CD">
        <w:rPr>
          <w:sz w:val="23"/>
          <w:szCs w:val="23"/>
        </w:rPr>
        <w:t>OCPA’s</w:t>
      </w:r>
      <w:r w:rsidR="00D02FA7" w:rsidRPr="00E96CD3">
        <w:rPr>
          <w:sz w:val="23"/>
          <w:szCs w:val="23"/>
        </w:rPr>
        <w:t xml:space="preserve"> </w:t>
      </w:r>
      <w:r w:rsidR="001C65B3" w:rsidRPr="00E96CD3">
        <w:rPr>
          <w:sz w:val="23"/>
          <w:szCs w:val="23"/>
        </w:rPr>
        <w:t>20</w:t>
      </w:r>
      <w:r w:rsidR="001C65B3">
        <w:rPr>
          <w:sz w:val="23"/>
          <w:szCs w:val="23"/>
        </w:rPr>
        <w:t>2</w:t>
      </w:r>
      <w:r w:rsidR="009A76A0">
        <w:rPr>
          <w:sz w:val="23"/>
          <w:szCs w:val="23"/>
        </w:rPr>
        <w:t>6</w:t>
      </w:r>
      <w:r w:rsidR="001C65B3" w:rsidRPr="00E96CD3">
        <w:rPr>
          <w:sz w:val="23"/>
          <w:szCs w:val="23"/>
        </w:rPr>
        <w:t xml:space="preserve"> RFP for Long-Term </w:t>
      </w:r>
      <w:r w:rsidR="001C65B3">
        <w:rPr>
          <w:sz w:val="23"/>
          <w:szCs w:val="23"/>
        </w:rPr>
        <w:t>RPS and Incremental Capacity</w:t>
      </w:r>
      <w:r w:rsidRPr="00E96CD3">
        <w:rPr>
          <w:sz w:val="23"/>
          <w:szCs w:val="23"/>
        </w:rPr>
        <w:t>”</w:t>
      </w:r>
      <w:r w:rsidR="00D02FA7" w:rsidRPr="00E96CD3">
        <w:rPr>
          <w:sz w:val="23"/>
          <w:szCs w:val="23"/>
        </w:rPr>
        <w:t>.</w:t>
      </w:r>
      <w:r w:rsidRPr="00E96CD3">
        <w:rPr>
          <w:sz w:val="23"/>
          <w:szCs w:val="23"/>
        </w:rPr>
        <w:t xml:space="preserve"> </w:t>
      </w:r>
    </w:p>
    <w:p w14:paraId="2F75313F" w14:textId="77777777" w:rsidR="00D02FA7" w:rsidRPr="00D02FA7" w:rsidRDefault="00624B37" w:rsidP="001C65B3">
      <w:pPr>
        <w:pStyle w:val="Default"/>
        <w:keepNext/>
        <w:keepLines/>
        <w:spacing w:after="120"/>
        <w:jc w:val="both"/>
        <w:rPr>
          <w:b/>
          <w:bCs/>
          <w:sz w:val="23"/>
          <w:szCs w:val="23"/>
        </w:rPr>
      </w:pPr>
      <w:r w:rsidRPr="00D02FA7">
        <w:rPr>
          <w:b/>
          <w:bCs/>
          <w:sz w:val="23"/>
          <w:szCs w:val="23"/>
          <w:u w:val="single"/>
        </w:rPr>
        <w:t>Evaluation of Responses</w:t>
      </w:r>
    </w:p>
    <w:p w14:paraId="04143827" w14:textId="500BC03B" w:rsidR="002060D4" w:rsidRPr="00D02FA7" w:rsidRDefault="00366696" w:rsidP="001C65B3">
      <w:pPr>
        <w:pStyle w:val="Default"/>
        <w:keepNext/>
        <w:keepLines/>
        <w:spacing w:after="120"/>
        <w:jc w:val="both"/>
        <w:rPr>
          <w:sz w:val="23"/>
          <w:szCs w:val="23"/>
        </w:rPr>
      </w:pPr>
      <w:r>
        <w:rPr>
          <w:sz w:val="23"/>
          <w:szCs w:val="23"/>
        </w:rPr>
        <w:t>OCPA</w:t>
      </w:r>
      <w:r w:rsidR="00624B37" w:rsidRPr="00D02FA7">
        <w:rPr>
          <w:sz w:val="23"/>
          <w:szCs w:val="23"/>
        </w:rPr>
        <w:t xml:space="preserve"> will evaluate responses against a common set of criteria that will include various factors. A </w:t>
      </w:r>
      <w:r w:rsidR="009D4A59">
        <w:rPr>
          <w:sz w:val="23"/>
          <w:szCs w:val="23"/>
        </w:rPr>
        <w:t>non-exhaustive</w:t>
      </w:r>
      <w:r w:rsidR="00624B37" w:rsidRPr="00D02FA7">
        <w:rPr>
          <w:sz w:val="23"/>
          <w:szCs w:val="23"/>
        </w:rPr>
        <w:t xml:space="preserve"> list of fac</w:t>
      </w:r>
      <w:r w:rsidR="002060D4" w:rsidRPr="00D02FA7">
        <w:rPr>
          <w:sz w:val="23"/>
          <w:szCs w:val="23"/>
        </w:rPr>
        <w:t xml:space="preserve">tors to be considered during </w:t>
      </w:r>
      <w:r>
        <w:rPr>
          <w:sz w:val="23"/>
          <w:szCs w:val="23"/>
        </w:rPr>
        <w:t>OCPA</w:t>
      </w:r>
      <w:r w:rsidR="009D4A59">
        <w:rPr>
          <w:sz w:val="23"/>
          <w:szCs w:val="23"/>
        </w:rPr>
        <w:t>’</w:t>
      </w:r>
      <w:r w:rsidR="00624B37" w:rsidRPr="00D02FA7">
        <w:rPr>
          <w:sz w:val="23"/>
          <w:szCs w:val="23"/>
        </w:rPr>
        <w:t xml:space="preserve"> evaluative process is included below.</w:t>
      </w:r>
      <w:r w:rsidR="002060D4" w:rsidRPr="00D02FA7">
        <w:rPr>
          <w:sz w:val="23"/>
          <w:szCs w:val="23"/>
        </w:rPr>
        <w:t xml:space="preserve"> This list may be revised at</w:t>
      </w:r>
      <w:r w:rsidR="004950EF">
        <w:rPr>
          <w:sz w:val="23"/>
          <w:szCs w:val="23"/>
        </w:rPr>
        <w:t xml:space="preserve"> </w:t>
      </w:r>
      <w:r>
        <w:rPr>
          <w:sz w:val="23"/>
          <w:szCs w:val="23"/>
        </w:rPr>
        <w:t>OCPA</w:t>
      </w:r>
      <w:r w:rsidR="009D4A59">
        <w:rPr>
          <w:sz w:val="23"/>
          <w:szCs w:val="23"/>
        </w:rPr>
        <w:t>’</w:t>
      </w:r>
      <w:r w:rsidR="00624B37" w:rsidRPr="00D02FA7">
        <w:rPr>
          <w:sz w:val="23"/>
          <w:szCs w:val="23"/>
        </w:rPr>
        <w:t xml:space="preserve"> sole discretion. </w:t>
      </w:r>
    </w:p>
    <w:p w14:paraId="31F50253" w14:textId="3C50C2A4" w:rsidR="009D4A59" w:rsidRPr="009D4A59" w:rsidRDefault="009D4A59" w:rsidP="009D4A59">
      <w:pPr>
        <w:pStyle w:val="Default"/>
        <w:numPr>
          <w:ilvl w:val="0"/>
          <w:numId w:val="13"/>
        </w:numPr>
        <w:spacing w:after="3"/>
        <w:ind w:left="720"/>
        <w:jc w:val="both"/>
        <w:rPr>
          <w:sz w:val="23"/>
          <w:szCs w:val="23"/>
        </w:rPr>
      </w:pPr>
      <w:r w:rsidRPr="009D4A59">
        <w:rPr>
          <w:sz w:val="23"/>
          <w:szCs w:val="23"/>
        </w:rPr>
        <w:t xml:space="preserve">Overall quality of response, inclusive of completeness, timeliness, and conformity; </w:t>
      </w:r>
    </w:p>
    <w:p w14:paraId="1F670185" w14:textId="6FA5C2B2" w:rsidR="009D4A59" w:rsidRPr="009D4A59" w:rsidRDefault="009D4A59" w:rsidP="009D4A59">
      <w:pPr>
        <w:pStyle w:val="Default"/>
        <w:numPr>
          <w:ilvl w:val="0"/>
          <w:numId w:val="13"/>
        </w:numPr>
        <w:spacing w:after="3"/>
        <w:ind w:left="720"/>
        <w:jc w:val="both"/>
        <w:rPr>
          <w:sz w:val="23"/>
          <w:szCs w:val="23"/>
        </w:rPr>
      </w:pPr>
      <w:r w:rsidRPr="009D4A59">
        <w:rPr>
          <w:sz w:val="23"/>
          <w:szCs w:val="23"/>
        </w:rPr>
        <w:t xml:space="preserve">Price and relative value within </w:t>
      </w:r>
      <w:r w:rsidR="00366696">
        <w:rPr>
          <w:sz w:val="23"/>
          <w:szCs w:val="23"/>
        </w:rPr>
        <w:t>OCPA</w:t>
      </w:r>
      <w:r>
        <w:rPr>
          <w:sz w:val="23"/>
          <w:szCs w:val="23"/>
        </w:rPr>
        <w:t>’</w:t>
      </w:r>
      <w:r w:rsidRPr="009D4A59">
        <w:rPr>
          <w:sz w:val="23"/>
          <w:szCs w:val="23"/>
        </w:rPr>
        <w:t xml:space="preserve"> supply portfolio;</w:t>
      </w:r>
    </w:p>
    <w:p w14:paraId="4DB21D36" w14:textId="7829CA20" w:rsidR="009D4A59" w:rsidRPr="009D4A59" w:rsidRDefault="009D4A59" w:rsidP="009D4A59">
      <w:pPr>
        <w:pStyle w:val="Default"/>
        <w:numPr>
          <w:ilvl w:val="0"/>
          <w:numId w:val="13"/>
        </w:numPr>
        <w:spacing w:after="3"/>
        <w:ind w:left="720"/>
        <w:jc w:val="both"/>
        <w:rPr>
          <w:sz w:val="23"/>
          <w:szCs w:val="23"/>
        </w:rPr>
      </w:pPr>
      <w:r w:rsidRPr="009D4A59">
        <w:rPr>
          <w:sz w:val="23"/>
          <w:szCs w:val="23"/>
        </w:rPr>
        <w:lastRenderedPageBreak/>
        <w:t>Project location and local benefits;</w:t>
      </w:r>
    </w:p>
    <w:p w14:paraId="45178EE9" w14:textId="73923972" w:rsidR="009D4A59" w:rsidRPr="009D4A59" w:rsidRDefault="009D4A59" w:rsidP="009D4A59">
      <w:pPr>
        <w:pStyle w:val="Default"/>
        <w:numPr>
          <w:ilvl w:val="0"/>
          <w:numId w:val="13"/>
        </w:numPr>
        <w:spacing w:after="3"/>
        <w:ind w:left="720"/>
        <w:jc w:val="both"/>
        <w:rPr>
          <w:sz w:val="23"/>
          <w:szCs w:val="23"/>
        </w:rPr>
      </w:pPr>
      <w:r w:rsidRPr="009D4A59">
        <w:rPr>
          <w:sz w:val="23"/>
          <w:szCs w:val="23"/>
        </w:rPr>
        <w:t>Project development status, including but not limited to progress toward interconnection, deliverability, siting, zoning, permitting, and financing requirements</w:t>
      </w:r>
      <w:r w:rsidR="009C1489">
        <w:rPr>
          <w:sz w:val="23"/>
          <w:szCs w:val="23"/>
        </w:rPr>
        <w:t>/plan</w:t>
      </w:r>
      <w:r w:rsidRPr="009D4A59">
        <w:rPr>
          <w:sz w:val="23"/>
          <w:szCs w:val="23"/>
        </w:rPr>
        <w:t xml:space="preserve">; </w:t>
      </w:r>
    </w:p>
    <w:p w14:paraId="33D268DF" w14:textId="7ED0A316" w:rsidR="009D4A59" w:rsidRPr="009D4A59" w:rsidRDefault="009D4A59" w:rsidP="009D4A59">
      <w:pPr>
        <w:pStyle w:val="Default"/>
        <w:numPr>
          <w:ilvl w:val="0"/>
          <w:numId w:val="13"/>
        </w:numPr>
        <w:spacing w:after="3"/>
        <w:ind w:left="720"/>
        <w:jc w:val="both"/>
        <w:rPr>
          <w:sz w:val="23"/>
          <w:szCs w:val="23"/>
        </w:rPr>
      </w:pPr>
      <w:r w:rsidRPr="009D4A59">
        <w:rPr>
          <w:sz w:val="23"/>
          <w:szCs w:val="23"/>
        </w:rPr>
        <w:t>Qualifications, experience, financial stability, and structure of the prospective project team (including its ownership);</w:t>
      </w:r>
    </w:p>
    <w:p w14:paraId="2A0DFFE4" w14:textId="250D758F" w:rsidR="009D4A59" w:rsidRPr="009D4A59" w:rsidRDefault="009D4A59" w:rsidP="009D4A59">
      <w:pPr>
        <w:pStyle w:val="Default"/>
        <w:numPr>
          <w:ilvl w:val="0"/>
          <w:numId w:val="13"/>
        </w:numPr>
        <w:spacing w:after="3"/>
        <w:ind w:left="720"/>
        <w:jc w:val="both"/>
        <w:rPr>
          <w:sz w:val="23"/>
          <w:szCs w:val="23"/>
        </w:rPr>
      </w:pPr>
      <w:r w:rsidRPr="009D4A59">
        <w:rPr>
          <w:sz w:val="23"/>
          <w:szCs w:val="23"/>
        </w:rPr>
        <w:t>Environmental impacts and related mitigation requirements, including impacts to air pollution within communities that have been disproportionately impacted by the existing generating fleet;</w:t>
      </w:r>
    </w:p>
    <w:p w14:paraId="761E8F3D" w14:textId="208CEB93" w:rsidR="009D4A59" w:rsidRDefault="009D4A59" w:rsidP="009D4A59">
      <w:pPr>
        <w:pStyle w:val="Default"/>
        <w:numPr>
          <w:ilvl w:val="0"/>
          <w:numId w:val="13"/>
        </w:numPr>
        <w:spacing w:after="3"/>
        <w:ind w:left="720"/>
        <w:jc w:val="both"/>
        <w:rPr>
          <w:sz w:val="23"/>
          <w:szCs w:val="23"/>
        </w:rPr>
      </w:pPr>
      <w:r w:rsidRPr="009D4A59">
        <w:rPr>
          <w:sz w:val="23"/>
          <w:szCs w:val="23"/>
        </w:rPr>
        <w:t>Potential impacts to grid reliability;</w:t>
      </w:r>
    </w:p>
    <w:p w14:paraId="0D6A06F5" w14:textId="5D8E10E6" w:rsidR="009D4A59" w:rsidRPr="009D4A59" w:rsidRDefault="009D4A59" w:rsidP="009D4A59">
      <w:pPr>
        <w:pStyle w:val="Default"/>
        <w:numPr>
          <w:ilvl w:val="0"/>
          <w:numId w:val="13"/>
        </w:numPr>
        <w:spacing w:after="3"/>
        <w:ind w:left="720"/>
        <w:jc w:val="both"/>
        <w:rPr>
          <w:sz w:val="23"/>
          <w:szCs w:val="23"/>
        </w:rPr>
      </w:pPr>
      <w:r w:rsidRPr="009D4A59">
        <w:rPr>
          <w:sz w:val="23"/>
          <w:szCs w:val="23"/>
        </w:rPr>
        <w:t>Potential economic benefits created within communities with high levels of poverty and unemployment;</w:t>
      </w:r>
    </w:p>
    <w:p w14:paraId="379998C8" w14:textId="160A8214" w:rsidR="009D4A59" w:rsidRPr="009D4A59" w:rsidRDefault="009D4A59" w:rsidP="009D4A59">
      <w:pPr>
        <w:pStyle w:val="Default"/>
        <w:numPr>
          <w:ilvl w:val="0"/>
          <w:numId w:val="13"/>
        </w:numPr>
        <w:spacing w:after="3"/>
        <w:ind w:left="720"/>
        <w:jc w:val="both"/>
        <w:rPr>
          <w:sz w:val="23"/>
          <w:szCs w:val="23"/>
        </w:rPr>
      </w:pPr>
      <w:r w:rsidRPr="009D4A59">
        <w:rPr>
          <w:sz w:val="23"/>
          <w:szCs w:val="23"/>
        </w:rPr>
        <w:t xml:space="preserve">Acceptance of </w:t>
      </w:r>
      <w:r w:rsidR="00366696">
        <w:rPr>
          <w:sz w:val="23"/>
          <w:szCs w:val="23"/>
        </w:rPr>
        <w:t>OCPA</w:t>
      </w:r>
      <w:r>
        <w:rPr>
          <w:sz w:val="23"/>
          <w:szCs w:val="23"/>
        </w:rPr>
        <w:t>’</w:t>
      </w:r>
      <w:r w:rsidR="009E31CD">
        <w:rPr>
          <w:sz w:val="23"/>
          <w:szCs w:val="23"/>
        </w:rPr>
        <w:t>s</w:t>
      </w:r>
      <w:r w:rsidRPr="009D4A59">
        <w:rPr>
          <w:sz w:val="23"/>
          <w:szCs w:val="23"/>
        </w:rPr>
        <w:t xml:space="preserve"> contract terms; </w:t>
      </w:r>
    </w:p>
    <w:p w14:paraId="1BA93BF5" w14:textId="0B4538A5" w:rsidR="009D4A59" w:rsidRPr="009C1489" w:rsidRDefault="009C1489" w:rsidP="00135E59">
      <w:pPr>
        <w:pStyle w:val="Default"/>
        <w:numPr>
          <w:ilvl w:val="0"/>
          <w:numId w:val="13"/>
        </w:numPr>
        <w:spacing w:after="3"/>
        <w:ind w:left="720"/>
        <w:jc w:val="both"/>
        <w:rPr>
          <w:sz w:val="23"/>
          <w:szCs w:val="23"/>
        </w:rPr>
      </w:pPr>
      <w:r w:rsidRPr="009C1489">
        <w:rPr>
          <w:sz w:val="23"/>
          <w:szCs w:val="23"/>
        </w:rPr>
        <w:t>Workforce benefits, including p</w:t>
      </w:r>
      <w:r w:rsidR="009D4A59" w:rsidRPr="009C1489">
        <w:rPr>
          <w:sz w:val="23"/>
          <w:szCs w:val="23"/>
        </w:rPr>
        <w:t>rojected hires (number and type of jobs)</w:t>
      </w:r>
      <w:r w:rsidRPr="009C1489">
        <w:rPr>
          <w:sz w:val="23"/>
          <w:szCs w:val="23"/>
        </w:rPr>
        <w:t xml:space="preserve">, </w:t>
      </w:r>
      <w:r>
        <w:rPr>
          <w:sz w:val="23"/>
          <w:szCs w:val="23"/>
        </w:rPr>
        <w:t>d</w:t>
      </w:r>
      <w:r w:rsidR="009D4A59" w:rsidRPr="009C1489">
        <w:rPr>
          <w:sz w:val="23"/>
          <w:szCs w:val="23"/>
        </w:rPr>
        <w:t>uration of work (during construction and operation phases); and</w:t>
      </w:r>
    </w:p>
    <w:p w14:paraId="437F7DF9" w14:textId="302C7A99" w:rsidR="009D4A59" w:rsidRPr="009D4A59" w:rsidRDefault="009D4A59" w:rsidP="009D4A59">
      <w:pPr>
        <w:pStyle w:val="Default"/>
        <w:numPr>
          <w:ilvl w:val="0"/>
          <w:numId w:val="13"/>
        </w:numPr>
        <w:spacing w:after="3"/>
        <w:ind w:left="720"/>
        <w:jc w:val="both"/>
        <w:rPr>
          <w:sz w:val="23"/>
          <w:szCs w:val="23"/>
        </w:rPr>
      </w:pPr>
      <w:r w:rsidRPr="009D4A59">
        <w:rPr>
          <w:sz w:val="23"/>
          <w:szCs w:val="23"/>
        </w:rPr>
        <w:t xml:space="preserve">To the extent that the proposed generating facility is expected to replace/supplant an existing generating facility, the </w:t>
      </w:r>
      <w:r>
        <w:rPr>
          <w:sz w:val="23"/>
          <w:szCs w:val="23"/>
        </w:rPr>
        <w:t>respondent should</w:t>
      </w:r>
      <w:r w:rsidRPr="009D4A59">
        <w:rPr>
          <w:sz w:val="23"/>
          <w:szCs w:val="23"/>
        </w:rPr>
        <w:t xml:space="preserve"> quantify the associated emission impacts of this transition.</w:t>
      </w:r>
    </w:p>
    <w:p w14:paraId="7143E21B" w14:textId="77777777" w:rsidR="00624B37" w:rsidRDefault="00624B37" w:rsidP="00B37D61">
      <w:pPr>
        <w:pStyle w:val="Default"/>
        <w:jc w:val="both"/>
        <w:rPr>
          <w:sz w:val="23"/>
          <w:szCs w:val="23"/>
        </w:rPr>
      </w:pPr>
    </w:p>
    <w:p w14:paraId="4F2941CA" w14:textId="258EE865" w:rsidR="004443DD" w:rsidRPr="0019616A" w:rsidRDefault="00883D4A" w:rsidP="004443DD">
      <w:pPr>
        <w:pStyle w:val="Default"/>
        <w:spacing w:after="120"/>
        <w:jc w:val="both"/>
        <w:rPr>
          <w:b/>
          <w:bCs/>
          <w:sz w:val="23"/>
          <w:szCs w:val="23"/>
        </w:rPr>
      </w:pPr>
      <w:r>
        <w:rPr>
          <w:b/>
          <w:bCs/>
          <w:sz w:val="23"/>
          <w:szCs w:val="23"/>
          <w:u w:val="single"/>
        </w:rPr>
        <w:t>Contracting and Credit</w:t>
      </w:r>
    </w:p>
    <w:p w14:paraId="480AD3F1" w14:textId="73A6E28F" w:rsidR="000913AE" w:rsidRDefault="00366696" w:rsidP="004443DD">
      <w:pPr>
        <w:pStyle w:val="Default"/>
        <w:jc w:val="both"/>
        <w:rPr>
          <w:sz w:val="23"/>
          <w:szCs w:val="23"/>
        </w:rPr>
      </w:pPr>
      <w:r>
        <w:rPr>
          <w:sz w:val="23"/>
          <w:szCs w:val="23"/>
        </w:rPr>
        <w:t>OCPA</w:t>
      </w:r>
      <w:r w:rsidR="00883D4A">
        <w:rPr>
          <w:sz w:val="23"/>
          <w:szCs w:val="23"/>
        </w:rPr>
        <w:t xml:space="preserve"> plan</w:t>
      </w:r>
      <w:r w:rsidR="009E31CD">
        <w:rPr>
          <w:sz w:val="23"/>
          <w:szCs w:val="23"/>
        </w:rPr>
        <w:t>s</w:t>
      </w:r>
      <w:r w:rsidR="00883D4A">
        <w:rPr>
          <w:sz w:val="23"/>
          <w:szCs w:val="23"/>
        </w:rPr>
        <w:t xml:space="preserve"> </w:t>
      </w:r>
      <w:r w:rsidR="00354BF2">
        <w:rPr>
          <w:sz w:val="23"/>
          <w:szCs w:val="23"/>
        </w:rPr>
        <w:t xml:space="preserve">to negotiate a Power Purchase Agreement (“PPA”) with each of the short-listed suppliers.  As part of </w:t>
      </w:r>
      <w:r w:rsidR="000913AE">
        <w:rPr>
          <w:sz w:val="23"/>
          <w:szCs w:val="23"/>
        </w:rPr>
        <w:t xml:space="preserve">the </w:t>
      </w:r>
      <w:r w:rsidR="002F025F">
        <w:rPr>
          <w:sz w:val="23"/>
          <w:szCs w:val="23"/>
        </w:rPr>
        <w:t>short-list notification process</w:t>
      </w:r>
      <w:r w:rsidR="00354BF2">
        <w:rPr>
          <w:sz w:val="23"/>
          <w:szCs w:val="23"/>
        </w:rPr>
        <w:t xml:space="preserve">, </w:t>
      </w:r>
      <w:r>
        <w:rPr>
          <w:sz w:val="23"/>
          <w:szCs w:val="23"/>
        </w:rPr>
        <w:t>OCPA</w:t>
      </w:r>
      <w:r w:rsidR="00354BF2">
        <w:rPr>
          <w:sz w:val="23"/>
          <w:szCs w:val="23"/>
        </w:rPr>
        <w:t xml:space="preserve"> will provide each of the short-listed</w:t>
      </w:r>
      <w:r w:rsidR="000913AE">
        <w:rPr>
          <w:sz w:val="23"/>
          <w:szCs w:val="23"/>
        </w:rPr>
        <w:t xml:space="preserve"> suppliers with a draft PPA.</w:t>
      </w:r>
      <w:r w:rsidR="00354BF2">
        <w:rPr>
          <w:sz w:val="23"/>
          <w:szCs w:val="23"/>
        </w:rPr>
        <w:t xml:space="preserve"> </w:t>
      </w:r>
      <w:r w:rsidR="000913AE">
        <w:rPr>
          <w:sz w:val="23"/>
          <w:szCs w:val="23"/>
        </w:rPr>
        <w:t xml:space="preserve">  </w:t>
      </w:r>
    </w:p>
    <w:p w14:paraId="2BDADB19" w14:textId="77777777" w:rsidR="000913AE" w:rsidRDefault="000913AE" w:rsidP="004443DD">
      <w:pPr>
        <w:pStyle w:val="Default"/>
        <w:jc w:val="both"/>
        <w:rPr>
          <w:sz w:val="23"/>
          <w:szCs w:val="23"/>
        </w:rPr>
      </w:pPr>
    </w:p>
    <w:p w14:paraId="08AF7BB3" w14:textId="0240610E" w:rsidR="004443DD" w:rsidRDefault="002F025F" w:rsidP="00B37D61">
      <w:pPr>
        <w:pStyle w:val="Default"/>
        <w:jc w:val="both"/>
        <w:rPr>
          <w:sz w:val="23"/>
          <w:szCs w:val="23"/>
        </w:rPr>
      </w:pPr>
      <w:r>
        <w:rPr>
          <w:sz w:val="23"/>
          <w:szCs w:val="23"/>
        </w:rPr>
        <w:t xml:space="preserve">With respect to </w:t>
      </w:r>
      <w:r w:rsidR="00167ED6">
        <w:rPr>
          <w:sz w:val="23"/>
          <w:szCs w:val="23"/>
        </w:rPr>
        <w:t xml:space="preserve">buyer </w:t>
      </w:r>
      <w:r>
        <w:rPr>
          <w:sz w:val="23"/>
          <w:szCs w:val="23"/>
        </w:rPr>
        <w:t>credit,</w:t>
      </w:r>
      <w:r w:rsidR="00167ED6">
        <w:rPr>
          <w:sz w:val="23"/>
          <w:szCs w:val="23"/>
        </w:rPr>
        <w:t xml:space="preserve"> </w:t>
      </w:r>
      <w:r w:rsidR="009E31CD">
        <w:rPr>
          <w:sz w:val="23"/>
          <w:szCs w:val="23"/>
        </w:rPr>
        <w:t>OCPA has</w:t>
      </w:r>
      <w:r w:rsidR="004E4198">
        <w:rPr>
          <w:sz w:val="23"/>
          <w:szCs w:val="23"/>
        </w:rPr>
        <w:t xml:space="preserve"> established </w:t>
      </w:r>
      <w:r w:rsidR="00621727">
        <w:rPr>
          <w:sz w:val="23"/>
          <w:szCs w:val="23"/>
        </w:rPr>
        <w:t xml:space="preserve">a </w:t>
      </w:r>
      <w:r w:rsidR="004E4198">
        <w:rPr>
          <w:sz w:val="23"/>
          <w:szCs w:val="23"/>
        </w:rPr>
        <w:t xml:space="preserve">“lockbox structure” </w:t>
      </w:r>
      <w:r w:rsidR="00A663F6">
        <w:rPr>
          <w:sz w:val="23"/>
          <w:szCs w:val="23"/>
        </w:rPr>
        <w:t>that allow</w:t>
      </w:r>
      <w:r w:rsidR="00621727">
        <w:rPr>
          <w:sz w:val="23"/>
          <w:szCs w:val="23"/>
        </w:rPr>
        <w:t>s</w:t>
      </w:r>
      <w:r w:rsidR="00A663F6">
        <w:rPr>
          <w:sz w:val="23"/>
          <w:szCs w:val="23"/>
        </w:rPr>
        <w:t xml:space="preserve"> for the collateralization of power supply contracts through the </w:t>
      </w:r>
      <w:r w:rsidR="00F143F0">
        <w:rPr>
          <w:sz w:val="23"/>
          <w:szCs w:val="23"/>
        </w:rPr>
        <w:t xml:space="preserve">grant of a secured interest in the </w:t>
      </w:r>
      <w:r w:rsidR="00D761C8">
        <w:rPr>
          <w:sz w:val="23"/>
          <w:szCs w:val="23"/>
        </w:rPr>
        <w:t xml:space="preserve">deposit </w:t>
      </w:r>
      <w:r w:rsidR="00A663F6">
        <w:rPr>
          <w:sz w:val="23"/>
          <w:szCs w:val="23"/>
        </w:rPr>
        <w:t>account in which customer revenue is deposited by SCE</w:t>
      </w:r>
      <w:r w:rsidR="005F0812">
        <w:rPr>
          <w:sz w:val="23"/>
          <w:szCs w:val="23"/>
        </w:rPr>
        <w:t xml:space="preserve"> on behalf of each program</w:t>
      </w:r>
      <w:r w:rsidR="00A663F6">
        <w:rPr>
          <w:sz w:val="23"/>
          <w:szCs w:val="23"/>
        </w:rPr>
        <w:t>.</w:t>
      </w:r>
      <w:r w:rsidR="005F0812">
        <w:rPr>
          <w:rStyle w:val="FootnoteReference"/>
          <w:sz w:val="23"/>
          <w:szCs w:val="23"/>
        </w:rPr>
        <w:footnoteReference w:id="2"/>
      </w:r>
      <w:r w:rsidR="00782EBD">
        <w:rPr>
          <w:sz w:val="23"/>
          <w:szCs w:val="23"/>
        </w:rPr>
        <w:t xml:space="preserve">  </w:t>
      </w:r>
      <w:r w:rsidR="00366696">
        <w:rPr>
          <w:sz w:val="23"/>
          <w:szCs w:val="23"/>
        </w:rPr>
        <w:t>OCPA</w:t>
      </w:r>
      <w:r w:rsidR="00782EBD">
        <w:rPr>
          <w:sz w:val="23"/>
          <w:szCs w:val="23"/>
        </w:rPr>
        <w:t xml:space="preserve"> prefer</w:t>
      </w:r>
      <w:r w:rsidR="009E31CD">
        <w:rPr>
          <w:sz w:val="23"/>
          <w:szCs w:val="23"/>
        </w:rPr>
        <w:t>s</w:t>
      </w:r>
      <w:r w:rsidR="00782EBD">
        <w:rPr>
          <w:sz w:val="23"/>
          <w:szCs w:val="23"/>
        </w:rPr>
        <w:t xml:space="preserve"> </w:t>
      </w:r>
      <w:r w:rsidR="001F3F0C">
        <w:rPr>
          <w:sz w:val="23"/>
          <w:szCs w:val="23"/>
        </w:rPr>
        <w:t>to utilize</w:t>
      </w:r>
      <w:r w:rsidR="00782EBD">
        <w:rPr>
          <w:sz w:val="23"/>
          <w:szCs w:val="23"/>
        </w:rPr>
        <w:t xml:space="preserve"> the lockbox structure for </w:t>
      </w:r>
      <w:r w:rsidR="001F3F0C">
        <w:rPr>
          <w:sz w:val="23"/>
          <w:szCs w:val="23"/>
        </w:rPr>
        <w:t xml:space="preserve">purposes of </w:t>
      </w:r>
      <w:r w:rsidR="00782EBD">
        <w:rPr>
          <w:sz w:val="23"/>
          <w:szCs w:val="23"/>
        </w:rPr>
        <w:t>collateralizing PPA’s related to this RFP</w:t>
      </w:r>
      <w:r w:rsidR="001F3F0C">
        <w:rPr>
          <w:sz w:val="23"/>
          <w:szCs w:val="23"/>
        </w:rPr>
        <w:t>.</w:t>
      </w:r>
      <w:r w:rsidR="00942F9E">
        <w:rPr>
          <w:sz w:val="23"/>
          <w:szCs w:val="23"/>
        </w:rPr>
        <w:t xml:space="preserve">  A sample set of lockbox credit documents can be found </w:t>
      </w:r>
      <w:r w:rsidR="00587070">
        <w:rPr>
          <w:sz w:val="23"/>
          <w:szCs w:val="23"/>
        </w:rPr>
        <w:t>here:</w:t>
      </w:r>
      <w:r w:rsidR="009E31CD">
        <w:rPr>
          <w:sz w:val="23"/>
          <w:szCs w:val="23"/>
        </w:rPr>
        <w:t xml:space="preserve"> </w:t>
      </w:r>
      <w:hyperlink r:id="rId18" w:history="1">
        <w:r w:rsidR="009E31CD" w:rsidRPr="00366696">
          <w:rPr>
            <w:rStyle w:val="Hyperlink"/>
            <w:sz w:val="23"/>
            <w:szCs w:val="23"/>
          </w:rPr>
          <w:t>RFQ/RFP/Solicitations - Orange County Power Authority (ocpower.org)</w:t>
        </w:r>
      </w:hyperlink>
      <w:r w:rsidR="009E31CD" w:rsidRPr="009E31CD">
        <w:t>. OCPA posts its financial statements under “</w:t>
      </w:r>
      <w:hyperlink r:id="rId19" w:history="1">
        <w:r w:rsidR="009E31CD" w:rsidRPr="009E31CD">
          <w:rPr>
            <w:rStyle w:val="Hyperlink"/>
          </w:rPr>
          <w:t>Finance and Budget</w:t>
        </w:r>
      </w:hyperlink>
      <w:r w:rsidR="009E31CD" w:rsidRPr="009E31CD">
        <w:t xml:space="preserve">” section of its website to assist interested respondents in completing an informed credit assessment before submitting a response. </w:t>
      </w:r>
      <w:r w:rsidR="004C127E">
        <w:rPr>
          <w:sz w:val="23"/>
          <w:szCs w:val="23"/>
        </w:rPr>
        <w:t xml:space="preserve">  </w:t>
      </w:r>
      <w:r w:rsidR="00C00EA0" w:rsidRPr="00173225">
        <w:rPr>
          <w:b/>
          <w:bCs/>
          <w:i/>
          <w:iCs/>
          <w:sz w:val="23"/>
          <w:szCs w:val="23"/>
        </w:rPr>
        <w:t>A</w:t>
      </w:r>
      <w:r w:rsidR="00406445" w:rsidRPr="00173225">
        <w:rPr>
          <w:b/>
          <w:bCs/>
          <w:i/>
          <w:iCs/>
          <w:sz w:val="23"/>
          <w:szCs w:val="23"/>
        </w:rPr>
        <w:t xml:space="preserve">ny </w:t>
      </w:r>
      <w:r w:rsidR="002714C7" w:rsidRPr="00173225">
        <w:rPr>
          <w:b/>
          <w:bCs/>
          <w:i/>
          <w:iCs/>
          <w:sz w:val="23"/>
          <w:szCs w:val="23"/>
        </w:rPr>
        <w:t xml:space="preserve">additional credit requirements </w:t>
      </w:r>
      <w:r w:rsidR="00160173" w:rsidRPr="00173225">
        <w:rPr>
          <w:b/>
          <w:bCs/>
          <w:i/>
          <w:iCs/>
          <w:sz w:val="23"/>
          <w:szCs w:val="23"/>
        </w:rPr>
        <w:t xml:space="preserve">or alternatives to the preferred lockbox structure </w:t>
      </w:r>
      <w:r w:rsidR="009452F5" w:rsidRPr="00173225">
        <w:rPr>
          <w:b/>
          <w:bCs/>
          <w:i/>
          <w:iCs/>
          <w:sz w:val="23"/>
          <w:szCs w:val="23"/>
        </w:rPr>
        <w:t xml:space="preserve">must be </w:t>
      </w:r>
      <w:r w:rsidR="000152AF" w:rsidRPr="00173225">
        <w:rPr>
          <w:b/>
          <w:bCs/>
          <w:i/>
          <w:iCs/>
          <w:sz w:val="23"/>
          <w:szCs w:val="23"/>
        </w:rPr>
        <w:t>f</w:t>
      </w:r>
      <w:r w:rsidR="009452F5" w:rsidRPr="00173225">
        <w:rPr>
          <w:b/>
          <w:bCs/>
          <w:i/>
          <w:iCs/>
          <w:sz w:val="23"/>
          <w:szCs w:val="23"/>
        </w:rPr>
        <w:t>ully described in the respondent</w:t>
      </w:r>
      <w:r w:rsidR="00507A89" w:rsidRPr="00173225">
        <w:rPr>
          <w:b/>
          <w:bCs/>
          <w:i/>
          <w:iCs/>
          <w:sz w:val="23"/>
          <w:szCs w:val="23"/>
        </w:rPr>
        <w:t>’</w:t>
      </w:r>
      <w:r w:rsidR="009452F5" w:rsidRPr="00173225">
        <w:rPr>
          <w:b/>
          <w:bCs/>
          <w:i/>
          <w:iCs/>
          <w:sz w:val="23"/>
          <w:szCs w:val="23"/>
        </w:rPr>
        <w:t>s offer</w:t>
      </w:r>
      <w:r w:rsidR="003B5A8C" w:rsidRPr="00173225">
        <w:rPr>
          <w:b/>
          <w:bCs/>
          <w:i/>
          <w:iCs/>
          <w:sz w:val="23"/>
          <w:szCs w:val="23"/>
        </w:rPr>
        <w:t>.</w:t>
      </w:r>
      <w:r w:rsidR="00B742D1" w:rsidRPr="00173225">
        <w:rPr>
          <w:b/>
          <w:bCs/>
          <w:i/>
          <w:iCs/>
          <w:sz w:val="23"/>
          <w:szCs w:val="23"/>
        </w:rPr>
        <w:t xml:space="preserve">  </w:t>
      </w:r>
      <w:r w:rsidR="00502548">
        <w:rPr>
          <w:b/>
          <w:bCs/>
          <w:i/>
          <w:iCs/>
          <w:sz w:val="23"/>
          <w:szCs w:val="23"/>
        </w:rPr>
        <w:t>Respondent’s f</w:t>
      </w:r>
      <w:r w:rsidR="00EE01E8" w:rsidRPr="00173225">
        <w:rPr>
          <w:b/>
          <w:bCs/>
          <w:i/>
          <w:iCs/>
          <w:sz w:val="23"/>
          <w:szCs w:val="23"/>
        </w:rPr>
        <w:t xml:space="preserve">ailure to </w:t>
      </w:r>
      <w:r w:rsidR="0013515F" w:rsidRPr="00173225">
        <w:rPr>
          <w:b/>
          <w:bCs/>
          <w:i/>
          <w:iCs/>
          <w:sz w:val="23"/>
          <w:szCs w:val="23"/>
        </w:rPr>
        <w:t xml:space="preserve">acknowledge acceptance of the lockbox structure or </w:t>
      </w:r>
      <w:r w:rsidR="00EE01E8" w:rsidRPr="00173225">
        <w:rPr>
          <w:b/>
          <w:bCs/>
          <w:i/>
          <w:iCs/>
          <w:sz w:val="23"/>
          <w:szCs w:val="23"/>
        </w:rPr>
        <w:t>disclose</w:t>
      </w:r>
      <w:r w:rsidR="00502548">
        <w:rPr>
          <w:b/>
          <w:bCs/>
          <w:i/>
          <w:iCs/>
          <w:sz w:val="23"/>
          <w:szCs w:val="23"/>
        </w:rPr>
        <w:t xml:space="preserve"> its</w:t>
      </w:r>
      <w:r w:rsidR="00EE01E8" w:rsidRPr="00173225">
        <w:rPr>
          <w:b/>
          <w:bCs/>
          <w:i/>
          <w:iCs/>
          <w:sz w:val="23"/>
          <w:szCs w:val="23"/>
        </w:rPr>
        <w:t xml:space="preserve"> </w:t>
      </w:r>
      <w:r w:rsidR="0013515F" w:rsidRPr="00173225">
        <w:rPr>
          <w:b/>
          <w:bCs/>
          <w:i/>
          <w:iCs/>
          <w:sz w:val="23"/>
          <w:szCs w:val="23"/>
        </w:rPr>
        <w:t xml:space="preserve">alternative </w:t>
      </w:r>
      <w:r w:rsidR="00EE01E8" w:rsidRPr="00173225">
        <w:rPr>
          <w:b/>
          <w:bCs/>
          <w:i/>
          <w:iCs/>
          <w:sz w:val="23"/>
          <w:szCs w:val="23"/>
        </w:rPr>
        <w:t xml:space="preserve">credit requirements will be grounds </w:t>
      </w:r>
      <w:r w:rsidR="00197699" w:rsidRPr="00173225">
        <w:rPr>
          <w:b/>
          <w:bCs/>
          <w:i/>
          <w:iCs/>
          <w:sz w:val="23"/>
          <w:szCs w:val="23"/>
        </w:rPr>
        <w:t xml:space="preserve">for </w:t>
      </w:r>
      <w:r w:rsidR="00502548">
        <w:rPr>
          <w:b/>
          <w:bCs/>
          <w:i/>
          <w:iCs/>
          <w:sz w:val="23"/>
          <w:szCs w:val="23"/>
        </w:rPr>
        <w:t>proposal rejection</w:t>
      </w:r>
      <w:r w:rsidR="00197699" w:rsidRPr="00173225">
        <w:rPr>
          <w:b/>
          <w:bCs/>
          <w:i/>
          <w:iCs/>
          <w:sz w:val="23"/>
          <w:szCs w:val="23"/>
        </w:rPr>
        <w:t>.</w:t>
      </w:r>
    </w:p>
    <w:p w14:paraId="4AF5CED8" w14:textId="77777777" w:rsidR="000913AE" w:rsidRPr="0019616A" w:rsidRDefault="000913AE" w:rsidP="00B37D61">
      <w:pPr>
        <w:pStyle w:val="Default"/>
        <w:jc w:val="both"/>
        <w:rPr>
          <w:sz w:val="23"/>
          <w:szCs w:val="23"/>
        </w:rPr>
      </w:pPr>
    </w:p>
    <w:p w14:paraId="6A3C99F5" w14:textId="78DEC74A" w:rsidR="0019616A" w:rsidRPr="0019616A" w:rsidRDefault="00D517C6" w:rsidP="009D4A59">
      <w:pPr>
        <w:pStyle w:val="Default"/>
        <w:keepNext/>
        <w:keepLines/>
        <w:spacing w:after="120"/>
        <w:jc w:val="both"/>
        <w:rPr>
          <w:b/>
          <w:bCs/>
          <w:sz w:val="23"/>
          <w:szCs w:val="23"/>
        </w:rPr>
      </w:pPr>
      <w:r>
        <w:rPr>
          <w:b/>
          <w:bCs/>
          <w:sz w:val="23"/>
          <w:szCs w:val="23"/>
          <w:u w:val="single"/>
        </w:rPr>
        <w:t>Confidentiality</w:t>
      </w:r>
    </w:p>
    <w:p w14:paraId="5FFBB052" w14:textId="2EF45D50" w:rsidR="00D517C6" w:rsidRPr="00351E89" w:rsidRDefault="00D517C6" w:rsidP="009D4A59">
      <w:pPr>
        <w:pStyle w:val="Default"/>
        <w:keepNext/>
        <w:keepLines/>
        <w:jc w:val="both"/>
        <w:rPr>
          <w:sz w:val="23"/>
          <w:szCs w:val="23"/>
        </w:rPr>
      </w:pPr>
      <w:r w:rsidRPr="00351E89">
        <w:rPr>
          <w:sz w:val="23"/>
          <w:szCs w:val="23"/>
        </w:rPr>
        <w:t xml:space="preserve">All correspondence with </w:t>
      </w:r>
      <w:r w:rsidR="00366696">
        <w:rPr>
          <w:sz w:val="23"/>
          <w:szCs w:val="23"/>
        </w:rPr>
        <w:t>OCPA</w:t>
      </w:r>
      <w:r w:rsidR="00D81743">
        <w:rPr>
          <w:sz w:val="23"/>
          <w:szCs w:val="23"/>
        </w:rPr>
        <w:t>,</w:t>
      </w:r>
      <w:r w:rsidRPr="00351E89">
        <w:rPr>
          <w:sz w:val="23"/>
          <w:szCs w:val="23"/>
        </w:rPr>
        <w:t xml:space="preserve"> including responses to this </w:t>
      </w:r>
      <w:r>
        <w:rPr>
          <w:sz w:val="23"/>
          <w:szCs w:val="23"/>
        </w:rPr>
        <w:t>RFP</w:t>
      </w:r>
      <w:r w:rsidR="00D81743">
        <w:rPr>
          <w:sz w:val="23"/>
          <w:szCs w:val="23"/>
        </w:rPr>
        <w:t>,</w:t>
      </w:r>
      <w:r w:rsidRPr="00351E89">
        <w:rPr>
          <w:sz w:val="23"/>
          <w:szCs w:val="23"/>
        </w:rPr>
        <w:t xml:space="preserve"> will become the exclusive property of </w:t>
      </w:r>
      <w:r w:rsidR="00366696">
        <w:rPr>
          <w:sz w:val="23"/>
          <w:szCs w:val="23"/>
        </w:rPr>
        <w:t>OCPA</w:t>
      </w:r>
      <w:r w:rsidRPr="00351E89">
        <w:rPr>
          <w:sz w:val="23"/>
          <w:szCs w:val="23"/>
        </w:rPr>
        <w:t xml:space="preserve"> and will become public records under the California Public Records Act (Cal. Government Code section 6250 et seq.)  All documents sent by </w:t>
      </w:r>
      <w:r>
        <w:rPr>
          <w:sz w:val="23"/>
          <w:szCs w:val="23"/>
        </w:rPr>
        <w:t>respondents</w:t>
      </w:r>
      <w:r w:rsidRPr="00351E89">
        <w:rPr>
          <w:sz w:val="23"/>
          <w:szCs w:val="23"/>
        </w:rPr>
        <w:t xml:space="preserve"> to </w:t>
      </w:r>
      <w:r w:rsidR="00366696">
        <w:rPr>
          <w:sz w:val="23"/>
          <w:szCs w:val="23"/>
        </w:rPr>
        <w:t>OCPA</w:t>
      </w:r>
      <w:r w:rsidRPr="00351E89">
        <w:rPr>
          <w:sz w:val="23"/>
          <w:szCs w:val="23"/>
        </w:rPr>
        <w:t xml:space="preserve"> may be subject to disclosure, unless exempt due to one of the narrow exceptions to the disclosure requirements.</w:t>
      </w:r>
    </w:p>
    <w:p w14:paraId="55A821F0" w14:textId="77777777" w:rsidR="00D517C6" w:rsidRPr="00351E89" w:rsidRDefault="00D517C6" w:rsidP="00D517C6">
      <w:pPr>
        <w:pStyle w:val="Default"/>
        <w:jc w:val="both"/>
        <w:rPr>
          <w:sz w:val="23"/>
          <w:szCs w:val="23"/>
        </w:rPr>
      </w:pPr>
    </w:p>
    <w:p w14:paraId="2E2AE076" w14:textId="77777777" w:rsidR="00D517C6" w:rsidRPr="00351E89" w:rsidRDefault="00D517C6" w:rsidP="00D517C6">
      <w:pPr>
        <w:pStyle w:val="Default"/>
        <w:jc w:val="both"/>
        <w:rPr>
          <w:sz w:val="23"/>
          <w:szCs w:val="23"/>
        </w:rPr>
      </w:pPr>
      <w:proofErr w:type="gramStart"/>
      <w:r w:rsidRPr="00351E89">
        <w:rPr>
          <w:sz w:val="23"/>
          <w:szCs w:val="23"/>
        </w:rPr>
        <w:lastRenderedPageBreak/>
        <w:t>In order to</w:t>
      </w:r>
      <w:proofErr w:type="gramEnd"/>
      <w:r w:rsidRPr="00351E89">
        <w:rPr>
          <w:sz w:val="23"/>
          <w:szCs w:val="23"/>
        </w:rPr>
        <w:t xml:space="preserve"> designate information as confidential, the </w:t>
      </w:r>
      <w:r>
        <w:rPr>
          <w:sz w:val="23"/>
          <w:szCs w:val="23"/>
        </w:rPr>
        <w:t>respondents</w:t>
      </w:r>
      <w:r w:rsidRPr="00351E89">
        <w:rPr>
          <w:sz w:val="23"/>
          <w:szCs w:val="23"/>
        </w:rPr>
        <w:t xml:space="preserve"> must clearly stamp and identify the specific portion of the material designated with the word “Confidential” and provide a citation to the California Public Records Act that supports keeping the information confidential. </w:t>
      </w:r>
      <w:r>
        <w:rPr>
          <w:sz w:val="23"/>
          <w:szCs w:val="23"/>
        </w:rPr>
        <w:t>Respondents</w:t>
      </w:r>
      <w:r w:rsidRPr="00351E89">
        <w:rPr>
          <w:sz w:val="23"/>
          <w:szCs w:val="23"/>
        </w:rPr>
        <w:t xml:space="preserve"> should not over-designate material as confidential. Over-designation would include stamping entire pages or series of pages as confidential that clearly contain information that is not confidential.</w:t>
      </w:r>
    </w:p>
    <w:p w14:paraId="3DF1D467" w14:textId="77777777" w:rsidR="00D517C6" w:rsidRPr="00351E89" w:rsidRDefault="00D517C6" w:rsidP="00D517C6">
      <w:pPr>
        <w:pStyle w:val="Default"/>
        <w:jc w:val="both"/>
        <w:rPr>
          <w:sz w:val="23"/>
          <w:szCs w:val="23"/>
        </w:rPr>
      </w:pPr>
    </w:p>
    <w:p w14:paraId="016E3C7A" w14:textId="071C4310" w:rsidR="00D517C6" w:rsidRPr="00351E89" w:rsidRDefault="00D517C6" w:rsidP="00D517C6">
      <w:pPr>
        <w:pStyle w:val="Default"/>
        <w:jc w:val="both"/>
        <w:rPr>
          <w:sz w:val="23"/>
          <w:szCs w:val="23"/>
        </w:rPr>
      </w:pPr>
      <w:r w:rsidRPr="00351E89">
        <w:rPr>
          <w:sz w:val="23"/>
          <w:szCs w:val="23"/>
        </w:rPr>
        <w:t xml:space="preserve">Therefore, any proposal which contains language purporting to render all or significant portions of their proposal “Confidential”, “Trade Secret” or “Proprietary”, or which fails to provide the exemption information required as described below may be considered a public record in its entirety subject to the procedures described below. </w:t>
      </w:r>
      <w:r w:rsidR="00502548">
        <w:rPr>
          <w:sz w:val="23"/>
          <w:szCs w:val="23"/>
        </w:rPr>
        <w:t xml:space="preserve">A respondent should </w:t>
      </w:r>
      <w:r w:rsidRPr="00351E89">
        <w:rPr>
          <w:sz w:val="23"/>
          <w:szCs w:val="23"/>
        </w:rPr>
        <w:t>not</w:t>
      </w:r>
      <w:r w:rsidRPr="00332228">
        <w:rPr>
          <w:sz w:val="23"/>
          <w:szCs w:val="23"/>
        </w:rPr>
        <w:t xml:space="preserve"> mark </w:t>
      </w:r>
      <w:r w:rsidR="00502548">
        <w:rPr>
          <w:sz w:val="23"/>
          <w:szCs w:val="23"/>
        </w:rPr>
        <w:t>its</w:t>
      </w:r>
      <w:r w:rsidR="00502548" w:rsidRPr="00332228">
        <w:rPr>
          <w:sz w:val="23"/>
          <w:szCs w:val="23"/>
        </w:rPr>
        <w:t xml:space="preserve"> </w:t>
      </w:r>
      <w:r w:rsidRPr="00332228">
        <w:rPr>
          <w:sz w:val="23"/>
          <w:szCs w:val="23"/>
        </w:rPr>
        <w:t>entire proposal as “C</w:t>
      </w:r>
      <w:r w:rsidRPr="00351E89">
        <w:rPr>
          <w:sz w:val="23"/>
          <w:szCs w:val="23"/>
        </w:rPr>
        <w:t xml:space="preserve">onfidential”. </w:t>
      </w:r>
    </w:p>
    <w:p w14:paraId="7D12CB9D" w14:textId="77777777" w:rsidR="00D517C6" w:rsidRPr="00351E89" w:rsidRDefault="00D517C6" w:rsidP="00D517C6">
      <w:pPr>
        <w:pStyle w:val="Default"/>
        <w:jc w:val="both"/>
        <w:rPr>
          <w:sz w:val="23"/>
          <w:szCs w:val="23"/>
        </w:rPr>
      </w:pPr>
    </w:p>
    <w:p w14:paraId="551A4830" w14:textId="398E8E48" w:rsidR="00D517C6" w:rsidRPr="00351E89" w:rsidRDefault="00D517C6" w:rsidP="00D517C6">
      <w:pPr>
        <w:pStyle w:val="Default"/>
        <w:jc w:val="both"/>
        <w:rPr>
          <w:sz w:val="23"/>
          <w:szCs w:val="23"/>
        </w:rPr>
      </w:pPr>
      <w:r w:rsidRPr="00351E89">
        <w:rPr>
          <w:sz w:val="23"/>
          <w:szCs w:val="23"/>
        </w:rPr>
        <w:t>If required by any law</w:t>
      </w:r>
      <w:r w:rsidRPr="00332228">
        <w:rPr>
          <w:sz w:val="23"/>
          <w:szCs w:val="23"/>
        </w:rPr>
        <w:t xml:space="preserve">, statute, ordinance, a court, </w:t>
      </w:r>
      <w:proofErr w:type="gramStart"/>
      <w:r w:rsidRPr="00332228">
        <w:rPr>
          <w:sz w:val="23"/>
          <w:szCs w:val="23"/>
        </w:rPr>
        <w:t>governmental</w:t>
      </w:r>
      <w:proofErr w:type="gramEnd"/>
      <w:r w:rsidRPr="00332228">
        <w:rPr>
          <w:sz w:val="23"/>
          <w:szCs w:val="23"/>
        </w:rPr>
        <w:t xml:space="preserve"> a</w:t>
      </w:r>
      <w:r w:rsidRPr="00351E89">
        <w:rPr>
          <w:sz w:val="23"/>
          <w:szCs w:val="23"/>
        </w:rPr>
        <w:t xml:space="preserve">uthority or agency having jurisdiction over </w:t>
      </w:r>
      <w:r w:rsidR="00366696">
        <w:rPr>
          <w:sz w:val="23"/>
          <w:szCs w:val="23"/>
        </w:rPr>
        <w:t>OCPA</w:t>
      </w:r>
      <w:r w:rsidRPr="00351E89">
        <w:rPr>
          <w:sz w:val="23"/>
          <w:szCs w:val="23"/>
        </w:rPr>
        <w:t xml:space="preserve">, including the California Public Records Act, </w:t>
      </w:r>
      <w:r w:rsidR="00366696">
        <w:rPr>
          <w:sz w:val="23"/>
          <w:szCs w:val="23"/>
        </w:rPr>
        <w:t>OCPA</w:t>
      </w:r>
      <w:r w:rsidRPr="00332228">
        <w:rPr>
          <w:sz w:val="23"/>
          <w:szCs w:val="23"/>
        </w:rPr>
        <w:t xml:space="preserve"> may release confidential i</w:t>
      </w:r>
      <w:r w:rsidRPr="00351E89">
        <w:rPr>
          <w:sz w:val="23"/>
          <w:szCs w:val="23"/>
        </w:rPr>
        <w:t>nformation, or a porti</w:t>
      </w:r>
      <w:r w:rsidRPr="00332228">
        <w:rPr>
          <w:sz w:val="23"/>
          <w:szCs w:val="23"/>
        </w:rPr>
        <w:t>on thereof, as required by the applicable l</w:t>
      </w:r>
      <w:r w:rsidRPr="00351E89">
        <w:rPr>
          <w:sz w:val="23"/>
          <w:szCs w:val="23"/>
        </w:rPr>
        <w:t xml:space="preserve">aw, statute, ordinance, decision, order or regulation. In the event </w:t>
      </w:r>
      <w:r w:rsidR="00366696">
        <w:rPr>
          <w:sz w:val="23"/>
          <w:szCs w:val="23"/>
        </w:rPr>
        <w:t>OCPA</w:t>
      </w:r>
      <w:r w:rsidRPr="00351E89">
        <w:rPr>
          <w:sz w:val="23"/>
          <w:szCs w:val="23"/>
        </w:rPr>
        <w:t xml:space="preserve"> </w:t>
      </w:r>
      <w:r w:rsidR="009E31CD">
        <w:rPr>
          <w:sz w:val="23"/>
          <w:szCs w:val="23"/>
        </w:rPr>
        <w:t>is</w:t>
      </w:r>
      <w:r w:rsidRPr="00351E89">
        <w:rPr>
          <w:sz w:val="23"/>
          <w:szCs w:val="23"/>
        </w:rPr>
        <w:t xml:space="preserve"> required to rele</w:t>
      </w:r>
      <w:r w:rsidRPr="00332228">
        <w:rPr>
          <w:sz w:val="23"/>
          <w:szCs w:val="23"/>
        </w:rPr>
        <w:t xml:space="preserve">ase confidential information, </w:t>
      </w:r>
      <w:r w:rsidR="009E31CD">
        <w:rPr>
          <w:sz w:val="23"/>
          <w:szCs w:val="23"/>
        </w:rPr>
        <w:t>it</w:t>
      </w:r>
      <w:r w:rsidRPr="00351E89">
        <w:rPr>
          <w:sz w:val="23"/>
          <w:szCs w:val="23"/>
        </w:rPr>
        <w:t xml:space="preserve"> shall notify the </w:t>
      </w:r>
      <w:r>
        <w:rPr>
          <w:sz w:val="23"/>
          <w:szCs w:val="23"/>
        </w:rPr>
        <w:t>respondent</w:t>
      </w:r>
      <w:r w:rsidRPr="00351E89">
        <w:rPr>
          <w:sz w:val="23"/>
          <w:szCs w:val="23"/>
        </w:rPr>
        <w:t xml:space="preserve"> of the required disclosure, such that the </w:t>
      </w:r>
      <w:r>
        <w:rPr>
          <w:sz w:val="23"/>
          <w:szCs w:val="23"/>
        </w:rPr>
        <w:t>respondent</w:t>
      </w:r>
      <w:r w:rsidRPr="00351E89">
        <w:rPr>
          <w:sz w:val="23"/>
          <w:szCs w:val="23"/>
        </w:rPr>
        <w:t xml:space="preserve"> may attempt (if it so chooses), at its sole cost,</w:t>
      </w:r>
      <w:r w:rsidRPr="00332228">
        <w:rPr>
          <w:sz w:val="23"/>
          <w:szCs w:val="23"/>
        </w:rPr>
        <w:t xml:space="preserve"> to cause the recipient of the confidential i</w:t>
      </w:r>
      <w:r w:rsidRPr="00351E89">
        <w:rPr>
          <w:sz w:val="23"/>
          <w:szCs w:val="23"/>
        </w:rPr>
        <w:t>nformation to treat such information in a confidential manner, and to prevent such information from being disclosed or otherwise becoming part of the public domain.</w:t>
      </w:r>
    </w:p>
    <w:p w14:paraId="6C502C15" w14:textId="77777777" w:rsidR="00D517C6" w:rsidRPr="00351E89" w:rsidRDefault="00D517C6" w:rsidP="00D517C6">
      <w:pPr>
        <w:pStyle w:val="Default"/>
        <w:jc w:val="both"/>
        <w:rPr>
          <w:sz w:val="23"/>
          <w:szCs w:val="23"/>
        </w:rPr>
      </w:pPr>
    </w:p>
    <w:p w14:paraId="519A7039" w14:textId="2773A43E" w:rsidR="000F7889" w:rsidRDefault="00366696" w:rsidP="00D517C6">
      <w:pPr>
        <w:pStyle w:val="Default"/>
        <w:jc w:val="both"/>
        <w:rPr>
          <w:sz w:val="23"/>
          <w:szCs w:val="23"/>
        </w:rPr>
      </w:pPr>
      <w:r>
        <w:rPr>
          <w:sz w:val="23"/>
          <w:szCs w:val="23"/>
        </w:rPr>
        <w:t>OCPA</w:t>
      </w:r>
      <w:r w:rsidR="00D517C6" w:rsidRPr="00332228">
        <w:rPr>
          <w:sz w:val="23"/>
          <w:szCs w:val="23"/>
        </w:rPr>
        <w:t xml:space="preserve"> do</w:t>
      </w:r>
      <w:r w:rsidR="009E31CD">
        <w:rPr>
          <w:sz w:val="23"/>
          <w:szCs w:val="23"/>
        </w:rPr>
        <w:t>es</w:t>
      </w:r>
      <w:r w:rsidR="00D517C6" w:rsidRPr="00351E89">
        <w:rPr>
          <w:sz w:val="23"/>
          <w:szCs w:val="23"/>
        </w:rPr>
        <w:t xml:space="preserve"> not intend to disclose an</w:t>
      </w:r>
      <w:r w:rsidR="00D517C6" w:rsidRPr="00332228">
        <w:rPr>
          <w:sz w:val="23"/>
          <w:szCs w:val="23"/>
        </w:rPr>
        <w:t xml:space="preserve">y part of any proposal before </w:t>
      </w:r>
      <w:r w:rsidR="009E31CD">
        <w:rPr>
          <w:sz w:val="23"/>
          <w:szCs w:val="23"/>
        </w:rPr>
        <w:t>it</w:t>
      </w:r>
      <w:r w:rsidR="00D517C6" w:rsidRPr="00332228">
        <w:rPr>
          <w:sz w:val="23"/>
          <w:szCs w:val="23"/>
        </w:rPr>
        <w:t xml:space="preserve"> announce</w:t>
      </w:r>
      <w:r w:rsidR="009E31CD">
        <w:rPr>
          <w:sz w:val="23"/>
          <w:szCs w:val="23"/>
        </w:rPr>
        <w:t>s</w:t>
      </w:r>
      <w:r w:rsidR="00D517C6" w:rsidRPr="00351E89">
        <w:rPr>
          <w:sz w:val="23"/>
          <w:szCs w:val="23"/>
        </w:rPr>
        <w:t xml:space="preserve"> a recommendation for award, on the ground</w:t>
      </w:r>
      <w:r w:rsidR="009E31CD">
        <w:rPr>
          <w:sz w:val="23"/>
          <w:szCs w:val="23"/>
        </w:rPr>
        <w:t>s</w:t>
      </w:r>
      <w:r w:rsidR="00D517C6" w:rsidRPr="00351E89">
        <w:rPr>
          <w:sz w:val="23"/>
          <w:szCs w:val="23"/>
        </w:rPr>
        <w:t xml:space="preserve"> that there is a substantial public interest in not disclosing proposals during the evaluation process.  </w:t>
      </w:r>
    </w:p>
    <w:p w14:paraId="33D90092" w14:textId="26F7ABAB" w:rsidR="00CE0027" w:rsidRDefault="00CE0027" w:rsidP="00D517C6">
      <w:pPr>
        <w:pStyle w:val="Default"/>
        <w:jc w:val="both"/>
        <w:rPr>
          <w:sz w:val="23"/>
          <w:szCs w:val="23"/>
        </w:rPr>
      </w:pPr>
    </w:p>
    <w:p w14:paraId="34576CBB" w14:textId="5D9E8FD3" w:rsidR="00CE0027" w:rsidRPr="005A4E27" w:rsidRDefault="00565FA2" w:rsidP="00CE0027">
      <w:pPr>
        <w:pStyle w:val="Default"/>
        <w:spacing w:after="120"/>
        <w:jc w:val="both"/>
        <w:rPr>
          <w:b/>
          <w:bCs/>
          <w:sz w:val="23"/>
          <w:szCs w:val="23"/>
        </w:rPr>
      </w:pPr>
      <w:r>
        <w:rPr>
          <w:b/>
          <w:bCs/>
          <w:sz w:val="23"/>
          <w:szCs w:val="23"/>
          <w:u w:val="single"/>
        </w:rPr>
        <w:t>Exclusivity</w:t>
      </w:r>
      <w:r w:rsidR="00CE0027" w:rsidRPr="005A4E27">
        <w:rPr>
          <w:b/>
          <w:bCs/>
          <w:sz w:val="23"/>
          <w:szCs w:val="23"/>
          <w:u w:val="single"/>
        </w:rPr>
        <w:t xml:space="preserve"> Agreement and Bid Deposit</w:t>
      </w:r>
    </w:p>
    <w:p w14:paraId="068195AB" w14:textId="420B074E" w:rsidR="00CE0027" w:rsidRPr="000913AE" w:rsidRDefault="00CE0027" w:rsidP="00CE0027">
      <w:pPr>
        <w:pStyle w:val="Default"/>
        <w:jc w:val="both"/>
        <w:rPr>
          <w:sz w:val="23"/>
          <w:szCs w:val="23"/>
        </w:rPr>
      </w:pPr>
      <w:r w:rsidRPr="005A4E27">
        <w:rPr>
          <w:sz w:val="23"/>
          <w:szCs w:val="23"/>
        </w:rPr>
        <w:t xml:space="preserve">As part of the short-listing process, </w:t>
      </w:r>
      <w:r w:rsidR="00366696">
        <w:rPr>
          <w:sz w:val="23"/>
          <w:szCs w:val="23"/>
        </w:rPr>
        <w:t>OCPA</w:t>
      </w:r>
      <w:r w:rsidRPr="005A4E27">
        <w:rPr>
          <w:sz w:val="23"/>
          <w:szCs w:val="23"/>
        </w:rPr>
        <w:t xml:space="preserve"> will require all short-listed bidders to execute a term sheet, enter into a</w:t>
      </w:r>
      <w:r w:rsidR="00565FA2">
        <w:rPr>
          <w:sz w:val="23"/>
          <w:szCs w:val="23"/>
        </w:rPr>
        <w:t>n</w:t>
      </w:r>
      <w:r w:rsidRPr="005A4E27">
        <w:rPr>
          <w:sz w:val="23"/>
          <w:szCs w:val="23"/>
        </w:rPr>
        <w:t xml:space="preserve"> </w:t>
      </w:r>
      <w:r w:rsidR="00565FA2">
        <w:rPr>
          <w:sz w:val="23"/>
          <w:szCs w:val="23"/>
        </w:rPr>
        <w:t>exclusivity</w:t>
      </w:r>
      <w:r w:rsidRPr="005A4E27">
        <w:rPr>
          <w:sz w:val="23"/>
          <w:szCs w:val="23"/>
        </w:rPr>
        <w:t xml:space="preserve"> agreement, and post a bid deposit in the </w:t>
      </w:r>
      <w:proofErr w:type="gramStart"/>
      <w:r w:rsidRPr="005A4E27">
        <w:rPr>
          <w:sz w:val="23"/>
          <w:szCs w:val="23"/>
        </w:rPr>
        <w:t>amount</w:t>
      </w:r>
      <w:proofErr w:type="gramEnd"/>
      <w:r w:rsidRPr="005A4E27">
        <w:rPr>
          <w:sz w:val="23"/>
          <w:szCs w:val="23"/>
        </w:rPr>
        <w:t xml:space="preserve"> of $</w:t>
      </w:r>
      <w:r w:rsidR="009C1489">
        <w:rPr>
          <w:sz w:val="23"/>
          <w:szCs w:val="23"/>
        </w:rPr>
        <w:t>5</w:t>
      </w:r>
      <w:r w:rsidRPr="005A4E27">
        <w:rPr>
          <w:sz w:val="23"/>
          <w:szCs w:val="23"/>
        </w:rPr>
        <w:t xml:space="preserve">,000/MW times the project’s guaranteed capacity.  </w:t>
      </w:r>
      <w:r w:rsidR="00366696">
        <w:rPr>
          <w:sz w:val="23"/>
          <w:szCs w:val="23"/>
        </w:rPr>
        <w:t>OCPA</w:t>
      </w:r>
      <w:r w:rsidR="005A4E27" w:rsidRPr="005A4E27">
        <w:rPr>
          <w:sz w:val="23"/>
          <w:szCs w:val="23"/>
        </w:rPr>
        <w:t xml:space="preserve"> will accept bid deposits in the form of cash or an agreed upon form of a </w:t>
      </w:r>
      <w:r w:rsidR="00565FA2">
        <w:rPr>
          <w:sz w:val="23"/>
          <w:szCs w:val="23"/>
        </w:rPr>
        <w:t>L</w:t>
      </w:r>
      <w:r w:rsidR="005A4E27" w:rsidRPr="005A4E27">
        <w:rPr>
          <w:sz w:val="23"/>
          <w:szCs w:val="23"/>
        </w:rPr>
        <w:t xml:space="preserve">etter of </w:t>
      </w:r>
      <w:r w:rsidR="00565FA2">
        <w:rPr>
          <w:sz w:val="23"/>
          <w:szCs w:val="23"/>
        </w:rPr>
        <w:t>C</w:t>
      </w:r>
      <w:r w:rsidR="005A4E27" w:rsidRPr="005A4E27">
        <w:rPr>
          <w:sz w:val="23"/>
          <w:szCs w:val="23"/>
        </w:rPr>
        <w:t>redit.</w:t>
      </w:r>
      <w:r w:rsidR="00565FA2">
        <w:rPr>
          <w:sz w:val="23"/>
          <w:szCs w:val="23"/>
        </w:rPr>
        <w:t xml:space="preserve">  Letter of Credit means an irrevocable standby letter of credit, </w:t>
      </w:r>
      <w:r w:rsidR="00565FA2" w:rsidRPr="00565FA2">
        <w:rPr>
          <w:sz w:val="23"/>
          <w:szCs w:val="23"/>
        </w:rPr>
        <w:t xml:space="preserve">in a form reasonably acceptable to </w:t>
      </w:r>
      <w:r w:rsidR="00366696">
        <w:rPr>
          <w:sz w:val="23"/>
          <w:szCs w:val="23"/>
        </w:rPr>
        <w:t>OCPA</w:t>
      </w:r>
      <w:r w:rsidR="00565FA2" w:rsidRPr="00565FA2">
        <w:rPr>
          <w:sz w:val="23"/>
          <w:szCs w:val="23"/>
        </w:rPr>
        <w:t>, issued either by (</w:t>
      </w:r>
      <w:proofErr w:type="spellStart"/>
      <w:r w:rsidR="00565FA2" w:rsidRPr="00565FA2">
        <w:rPr>
          <w:sz w:val="23"/>
          <w:szCs w:val="23"/>
        </w:rPr>
        <w:t>i</w:t>
      </w:r>
      <w:proofErr w:type="spellEnd"/>
      <w:r w:rsidR="00565FA2" w:rsidRPr="00565FA2">
        <w:rPr>
          <w:sz w:val="23"/>
          <w:szCs w:val="23"/>
        </w:rPr>
        <w:t xml:space="preserve">) a U.S. commercial bank, or (ii) a U.S. branch of a foreign commercial bank that meets the following conditions: (A) it has sufficient assets in the U.S. as determined by </w:t>
      </w:r>
      <w:r w:rsidR="00366696">
        <w:rPr>
          <w:sz w:val="23"/>
          <w:szCs w:val="23"/>
        </w:rPr>
        <w:t>OCPA</w:t>
      </w:r>
      <w:r w:rsidR="00565FA2" w:rsidRPr="00565FA2">
        <w:rPr>
          <w:sz w:val="23"/>
          <w:szCs w:val="23"/>
        </w:rPr>
        <w:t xml:space="preserve">, and (B) it is acceptable to </w:t>
      </w:r>
      <w:r w:rsidR="00366696">
        <w:rPr>
          <w:sz w:val="23"/>
          <w:szCs w:val="23"/>
        </w:rPr>
        <w:t>OCPA</w:t>
      </w:r>
      <w:r w:rsidR="00565FA2" w:rsidRPr="00565FA2">
        <w:rPr>
          <w:sz w:val="23"/>
          <w:szCs w:val="23"/>
        </w:rPr>
        <w:t xml:space="preserve"> in its sole discretion. The issuing bank must have a credit rating of at least A- from S&amp;P or A3 from Moody’s, with a stable outlook designation.  All costs of the Letter of Credit shall be borne by Offeror.</w:t>
      </w:r>
    </w:p>
    <w:sectPr w:rsidR="00CE0027" w:rsidRPr="000913AE" w:rsidSect="00E8140F">
      <w:headerReference w:type="even" r:id="rId20"/>
      <w:headerReference w:type="default" r:id="rId21"/>
      <w:footerReference w:type="even" r:id="rId22"/>
      <w:footerReference w:type="default" r:id="rId23"/>
      <w:headerReference w:type="first" r:id="rId24"/>
      <w:footerReference w:type="first" r:id="rId25"/>
      <w:pgSz w:w="12240" w:h="15840" w:code="1"/>
      <w:pgMar w:top="1890" w:right="1079" w:bottom="1387" w:left="1256"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C7C41" w14:textId="77777777" w:rsidR="009F0108" w:rsidRDefault="009F0108" w:rsidP="00B855EC">
      <w:pPr>
        <w:spacing w:after="0" w:line="240" w:lineRule="auto"/>
      </w:pPr>
      <w:r>
        <w:separator/>
      </w:r>
    </w:p>
  </w:endnote>
  <w:endnote w:type="continuationSeparator" w:id="0">
    <w:p w14:paraId="39B0540D" w14:textId="77777777" w:rsidR="009F0108" w:rsidRDefault="009F0108" w:rsidP="00B85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252B" w14:textId="77777777" w:rsidR="00AB2BCC" w:rsidRDefault="00AB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665905"/>
      <w:docPartObj>
        <w:docPartGallery w:val="Page Numbers (Bottom of Page)"/>
        <w:docPartUnique/>
      </w:docPartObj>
    </w:sdtPr>
    <w:sdtEndPr>
      <w:rPr>
        <w:noProof/>
      </w:rPr>
    </w:sdtEndPr>
    <w:sdtContent>
      <w:p w14:paraId="6F9E31F6" w14:textId="3589AA78" w:rsidR="00E96CD3" w:rsidRDefault="00E96CD3">
        <w:pPr>
          <w:pStyle w:val="Footer"/>
          <w:jc w:val="center"/>
          <w:rPr>
            <w:noProof/>
          </w:rPr>
        </w:pPr>
        <w:r>
          <w:fldChar w:fldCharType="begin"/>
        </w:r>
        <w:r>
          <w:instrText xml:space="preserve"> PAGE   \* MERGEFORMAT </w:instrText>
        </w:r>
        <w:r>
          <w:fldChar w:fldCharType="separate"/>
        </w:r>
        <w:r w:rsidR="00D81743">
          <w:rPr>
            <w:noProof/>
          </w:rPr>
          <w:t>5</w:t>
        </w:r>
        <w:r>
          <w:rPr>
            <w:noProof/>
          </w:rPr>
          <w:fldChar w:fldCharType="end"/>
        </w:r>
      </w:p>
    </w:sdtContent>
  </w:sdt>
  <w:p w14:paraId="7D5D8453" w14:textId="33881729" w:rsidR="00E96CD3" w:rsidRPr="00173225" w:rsidRDefault="00AB2BCC" w:rsidP="002E6338">
    <w:pPr>
      <w:pStyle w:val="Footer"/>
      <w:spacing w:line="200" w:lineRule="exact"/>
      <w:rPr>
        <w:rFonts w:ascii="Calibri" w:hAnsi="Calibri" w:cs="Calibri"/>
        <w:noProof/>
        <w:sz w:val="16"/>
        <w:szCs w:val="16"/>
      </w:rPr>
    </w:pPr>
    <w:r>
      <w:rPr>
        <w:rStyle w:val="zzmpTrailerItem"/>
      </w:rPr>
      <w:t>June</w:t>
    </w:r>
    <w:r w:rsidR="00482A0D">
      <w:rPr>
        <w:rStyle w:val="zzmpTrailerItem"/>
      </w:rPr>
      <w:t xml:space="preserve"> 202</w:t>
    </w:r>
    <w:r w:rsidR="00F7757C">
      <w:rPr>
        <w:rStyle w:val="zzmpTrailerItem"/>
      </w:rPr>
      <w:t>6</w:t>
    </w:r>
    <w:r w:rsidR="002E6338">
      <w:rPr>
        <w:rStyle w:val="zzmpTrailerItem"/>
      </w:rPr>
      <w:t xml:space="preserve"> RFP for Long-Term Renewable Energy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D0F2" w14:textId="77777777" w:rsidR="00AB2BCC" w:rsidRDefault="00AB2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ED52" w14:textId="77777777" w:rsidR="009F0108" w:rsidRDefault="009F0108" w:rsidP="00B855EC">
      <w:pPr>
        <w:spacing w:after="0" w:line="240" w:lineRule="auto"/>
      </w:pPr>
      <w:r>
        <w:separator/>
      </w:r>
    </w:p>
  </w:footnote>
  <w:footnote w:type="continuationSeparator" w:id="0">
    <w:p w14:paraId="67885DCC" w14:textId="77777777" w:rsidR="009F0108" w:rsidRDefault="009F0108" w:rsidP="00B855EC">
      <w:pPr>
        <w:spacing w:after="0" w:line="240" w:lineRule="auto"/>
      </w:pPr>
      <w:r>
        <w:continuationSeparator/>
      </w:r>
    </w:p>
  </w:footnote>
  <w:footnote w:id="1">
    <w:p w14:paraId="2109EA78" w14:textId="5E9B0A3E" w:rsidR="00FD7570" w:rsidRDefault="00FD7570">
      <w:pPr>
        <w:pStyle w:val="FootnoteText"/>
      </w:pPr>
      <w:r>
        <w:rPr>
          <w:rStyle w:val="FootnoteReference"/>
        </w:rPr>
        <w:footnoteRef/>
      </w:r>
      <w:r>
        <w:t xml:space="preserve"> D.26-02-057 prescribes an aggregate capacity procurement mandate of 6,000 MWs across all California LSEs.  This procurement obligation is phased across the three-year period spanning 2030-2032.  OCPA’s aggregate procurement obligation across this three-year period is 75 MWs. </w:t>
      </w:r>
    </w:p>
  </w:footnote>
  <w:footnote w:id="2">
    <w:p w14:paraId="3DC1574D" w14:textId="196D5D8C" w:rsidR="005F0812" w:rsidRDefault="005F0812">
      <w:pPr>
        <w:pStyle w:val="FootnoteText"/>
      </w:pPr>
      <w:r>
        <w:rPr>
          <w:rStyle w:val="FootnoteReference"/>
        </w:rPr>
        <w:footnoteRef/>
      </w:r>
      <w:r>
        <w:t xml:space="preserve"> </w:t>
      </w:r>
      <w:r w:rsidR="00EE0282">
        <w:t xml:space="preserve">SCE is the billing agent for </w:t>
      </w:r>
      <w:r w:rsidR="009E31CD">
        <w:t>OCPA</w:t>
      </w:r>
      <w:r w:rsidR="00107040">
        <w:t xml:space="preserve"> pursuant to its CCA</w:t>
      </w:r>
      <w:r w:rsidR="004C0BED">
        <w:t xml:space="preserve">-SF </w:t>
      </w:r>
      <w:r w:rsidR="00107040">
        <w:t>tariff</w:t>
      </w:r>
      <w:r w:rsidR="004C0BED">
        <w:t xml:space="preserve"> and Rule </w:t>
      </w:r>
      <w:r w:rsidR="003D1506">
        <w:t>23</w:t>
      </w:r>
      <w:r w:rsidR="00107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26BE" w14:textId="77777777" w:rsidR="00AB2BCC" w:rsidRDefault="00AB2B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A547" w14:textId="5AFAEF93" w:rsidR="00F54913" w:rsidRDefault="00AB2BCC" w:rsidP="00B855EC">
    <w:pPr>
      <w:pStyle w:val="Default"/>
      <w:jc w:val="center"/>
      <w:rPr>
        <w:sz w:val="28"/>
        <w:szCs w:val="28"/>
      </w:rPr>
    </w:pPr>
    <w:r>
      <w:rPr>
        <w:b/>
        <w:bCs/>
        <w:sz w:val="28"/>
        <w:szCs w:val="28"/>
      </w:rPr>
      <w:t>Orange County Power Authority</w:t>
    </w:r>
  </w:p>
  <w:p w14:paraId="0E287522" w14:textId="2A87AF47" w:rsidR="003E6A81" w:rsidRDefault="001E1A76" w:rsidP="003E6A81">
    <w:pPr>
      <w:pStyle w:val="Default"/>
      <w:jc w:val="center"/>
      <w:rPr>
        <w:b/>
        <w:bCs/>
        <w:sz w:val="28"/>
        <w:szCs w:val="28"/>
      </w:rPr>
    </w:pPr>
    <w:r>
      <w:rPr>
        <w:b/>
        <w:bCs/>
        <w:sz w:val="28"/>
        <w:szCs w:val="28"/>
      </w:rPr>
      <w:t>202</w:t>
    </w:r>
    <w:r w:rsidR="00A5364F">
      <w:rPr>
        <w:b/>
        <w:bCs/>
        <w:sz w:val="28"/>
        <w:szCs w:val="28"/>
      </w:rPr>
      <w:t>6</w:t>
    </w:r>
    <w:r>
      <w:rPr>
        <w:b/>
        <w:bCs/>
        <w:sz w:val="28"/>
        <w:szCs w:val="28"/>
      </w:rPr>
      <w:t xml:space="preserve"> </w:t>
    </w:r>
    <w:r w:rsidR="00F54913">
      <w:rPr>
        <w:b/>
        <w:bCs/>
        <w:sz w:val="28"/>
        <w:szCs w:val="28"/>
      </w:rPr>
      <w:t>Request for Proposals (“RFP”) for Long-Term</w:t>
    </w:r>
    <w:r w:rsidR="003E6A81">
      <w:rPr>
        <w:b/>
        <w:bCs/>
        <w:sz w:val="28"/>
        <w:szCs w:val="28"/>
      </w:rPr>
      <w:t xml:space="preserve"> RPS-Eligible </w:t>
    </w:r>
  </w:p>
  <w:p w14:paraId="77E92111" w14:textId="5D16E92A" w:rsidR="00F54913" w:rsidRPr="003E6A81" w:rsidRDefault="00F54913" w:rsidP="003E6A81">
    <w:pPr>
      <w:pStyle w:val="Default"/>
      <w:jc w:val="center"/>
      <w:rPr>
        <w:b/>
        <w:bCs/>
        <w:sz w:val="28"/>
        <w:szCs w:val="28"/>
      </w:rPr>
    </w:pPr>
    <w:r>
      <w:rPr>
        <w:b/>
        <w:bCs/>
        <w:sz w:val="28"/>
        <w:szCs w:val="28"/>
      </w:rPr>
      <w:t>Renewable Energy</w:t>
    </w:r>
    <w:r w:rsidR="003E6A81">
      <w:rPr>
        <w:b/>
        <w:bCs/>
        <w:sz w:val="28"/>
        <w:szCs w:val="28"/>
      </w:rPr>
      <w:t xml:space="preserve"> &amp; </w:t>
    </w:r>
    <w:r w:rsidR="009D2670">
      <w:rPr>
        <w:b/>
        <w:bCs/>
        <w:sz w:val="28"/>
        <w:szCs w:val="28"/>
      </w:rPr>
      <w:t>Incremental Capacity</w:t>
    </w:r>
  </w:p>
  <w:p w14:paraId="45A670CD" w14:textId="77777777" w:rsidR="00F54913" w:rsidRDefault="00F54913" w:rsidP="00777D93">
    <w:pPr>
      <w:pStyle w:val="Defaul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26AA" w14:textId="77777777" w:rsidR="00AB2BCC" w:rsidRDefault="00AB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73C4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21734"/>
    <w:multiLevelType w:val="hybridMultilevel"/>
    <w:tmpl w:val="C0CA8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A0F13"/>
    <w:multiLevelType w:val="hybridMultilevel"/>
    <w:tmpl w:val="E0D84666"/>
    <w:lvl w:ilvl="0" w:tplc="FC6EB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E15138"/>
    <w:multiLevelType w:val="hybridMultilevel"/>
    <w:tmpl w:val="F158517C"/>
    <w:lvl w:ilvl="0" w:tplc="F97A5C8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951476"/>
    <w:multiLevelType w:val="hybridMultilevel"/>
    <w:tmpl w:val="5EFC7E10"/>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06163"/>
    <w:multiLevelType w:val="hybridMultilevel"/>
    <w:tmpl w:val="BA54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D315B"/>
    <w:multiLevelType w:val="hybridMultilevel"/>
    <w:tmpl w:val="6F4C326C"/>
    <w:lvl w:ilvl="0" w:tplc="2208D3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C235CC"/>
    <w:multiLevelType w:val="hybridMultilevel"/>
    <w:tmpl w:val="3682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C7822"/>
    <w:multiLevelType w:val="hybridMultilevel"/>
    <w:tmpl w:val="ECBCA880"/>
    <w:lvl w:ilvl="0" w:tplc="A3EC0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4A341D"/>
    <w:multiLevelType w:val="hybridMultilevel"/>
    <w:tmpl w:val="F6862B66"/>
    <w:lvl w:ilvl="0" w:tplc="04090015">
      <w:start w:val="1"/>
      <w:numFmt w:val="upperLetter"/>
      <w:lvlText w:val="%1."/>
      <w:lvlJc w:val="left"/>
      <w:pPr>
        <w:ind w:left="720" w:hanging="360"/>
      </w:pPr>
      <w:rPr>
        <w:rFont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90423"/>
    <w:multiLevelType w:val="hybridMultilevel"/>
    <w:tmpl w:val="E3E2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0B76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C8B7E95"/>
    <w:multiLevelType w:val="hybridMultilevel"/>
    <w:tmpl w:val="FE8CD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F0429C"/>
    <w:multiLevelType w:val="hybridMultilevel"/>
    <w:tmpl w:val="41803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7D6F37"/>
    <w:multiLevelType w:val="hybridMultilevel"/>
    <w:tmpl w:val="B2B08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4439761">
    <w:abstractNumId w:val="12"/>
  </w:num>
  <w:num w:numId="2" w16cid:durableId="933317437">
    <w:abstractNumId w:val="9"/>
  </w:num>
  <w:num w:numId="3" w16cid:durableId="199631498">
    <w:abstractNumId w:val="4"/>
  </w:num>
  <w:num w:numId="4" w16cid:durableId="770659910">
    <w:abstractNumId w:val="1"/>
  </w:num>
  <w:num w:numId="5" w16cid:durableId="1886022392">
    <w:abstractNumId w:val="8"/>
  </w:num>
  <w:num w:numId="6" w16cid:durableId="2050645191">
    <w:abstractNumId w:val="2"/>
  </w:num>
  <w:num w:numId="7" w16cid:durableId="2041393497">
    <w:abstractNumId w:val="6"/>
  </w:num>
  <w:num w:numId="8" w16cid:durableId="1408267902">
    <w:abstractNumId w:val="5"/>
  </w:num>
  <w:num w:numId="9" w16cid:durableId="484706542">
    <w:abstractNumId w:val="7"/>
  </w:num>
  <w:num w:numId="10" w16cid:durableId="747338113">
    <w:abstractNumId w:val="0"/>
  </w:num>
  <w:num w:numId="11" w16cid:durableId="312567084">
    <w:abstractNumId w:val="11"/>
  </w:num>
  <w:num w:numId="12" w16cid:durableId="1162744115">
    <w:abstractNumId w:val="13"/>
  </w:num>
  <w:num w:numId="13" w16cid:durableId="1673531018">
    <w:abstractNumId w:val="14"/>
  </w:num>
  <w:num w:numId="14" w16cid:durableId="1787430157">
    <w:abstractNumId w:val="3"/>
  </w:num>
  <w:num w:numId="15" w16cid:durableId="2128427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ClientMatter" w:val="0"/>
    <w:docVar w:name="85TrailerDate" w:val="0"/>
    <w:docVar w:name="85TrailerDateField" w:val="0"/>
    <w:docVar w:name="85TrailerDraft" w:val="0"/>
    <w:docVar w:name="85TrailerLibrary" w:val="0"/>
    <w:docVar w:name="85TrailerTime" w:val="0"/>
    <w:docVar w:name="85TrailerType" w:val="100"/>
    <w:docVar w:name="85TrailerVersion" w:val="1"/>
    <w:docVar w:name="DocStamp_1_OptionalControlValues" w:val="Library|&amp;Library|0|%l|Version|&amp;Version|1|%v|ClientMatter|&amp;Client/Matter|0|%cm"/>
    <w:docVar w:name="MPDocID" w:val="37072008v1"/>
    <w:docVar w:name="MPDocIDTemplate" w:val=" %n|v%v"/>
    <w:docVar w:name="MPDocIDTemplateDefault" w:val="%l| %n|v%v| %c|.%m"/>
    <w:docVar w:name="NewDocStampType" w:val="1"/>
    <w:docVar w:name="zzmpTrailerDateFormat" w:val="0"/>
  </w:docVars>
  <w:rsids>
    <w:rsidRoot w:val="00624B37"/>
    <w:rsid w:val="0000440C"/>
    <w:rsid w:val="000053EF"/>
    <w:rsid w:val="000152AF"/>
    <w:rsid w:val="000204F9"/>
    <w:rsid w:val="00021E3D"/>
    <w:rsid w:val="0002551E"/>
    <w:rsid w:val="000325B3"/>
    <w:rsid w:val="00036B80"/>
    <w:rsid w:val="00042B79"/>
    <w:rsid w:val="00056CE3"/>
    <w:rsid w:val="000573B4"/>
    <w:rsid w:val="00066630"/>
    <w:rsid w:val="00071EFB"/>
    <w:rsid w:val="00072263"/>
    <w:rsid w:val="00076CAA"/>
    <w:rsid w:val="000836DC"/>
    <w:rsid w:val="000913AE"/>
    <w:rsid w:val="00091779"/>
    <w:rsid w:val="00096FAC"/>
    <w:rsid w:val="000A0EF9"/>
    <w:rsid w:val="000B105E"/>
    <w:rsid w:val="000B22B8"/>
    <w:rsid w:val="000C2F25"/>
    <w:rsid w:val="000D46FC"/>
    <w:rsid w:val="000E0CA7"/>
    <w:rsid w:val="000F7889"/>
    <w:rsid w:val="00107040"/>
    <w:rsid w:val="001174B4"/>
    <w:rsid w:val="00122857"/>
    <w:rsid w:val="00132A76"/>
    <w:rsid w:val="0013515F"/>
    <w:rsid w:val="001506C1"/>
    <w:rsid w:val="00152134"/>
    <w:rsid w:val="00153247"/>
    <w:rsid w:val="001554EE"/>
    <w:rsid w:val="00160173"/>
    <w:rsid w:val="00167ED6"/>
    <w:rsid w:val="00171C82"/>
    <w:rsid w:val="00173225"/>
    <w:rsid w:val="001737B5"/>
    <w:rsid w:val="00175D87"/>
    <w:rsid w:val="001942C5"/>
    <w:rsid w:val="0019616A"/>
    <w:rsid w:val="00197699"/>
    <w:rsid w:val="001A41FF"/>
    <w:rsid w:val="001A7804"/>
    <w:rsid w:val="001B2B1F"/>
    <w:rsid w:val="001B3B70"/>
    <w:rsid w:val="001C2641"/>
    <w:rsid w:val="001C554B"/>
    <w:rsid w:val="001C65B3"/>
    <w:rsid w:val="001D5B53"/>
    <w:rsid w:val="001E1A4E"/>
    <w:rsid w:val="001E1A76"/>
    <w:rsid w:val="001E76D4"/>
    <w:rsid w:val="001F256D"/>
    <w:rsid w:val="001F2FF6"/>
    <w:rsid w:val="001F3F0C"/>
    <w:rsid w:val="001F5926"/>
    <w:rsid w:val="002060D4"/>
    <w:rsid w:val="00206452"/>
    <w:rsid w:val="002072BB"/>
    <w:rsid w:val="0021579B"/>
    <w:rsid w:val="00222AB7"/>
    <w:rsid w:val="00237DB5"/>
    <w:rsid w:val="002417CD"/>
    <w:rsid w:val="00243D77"/>
    <w:rsid w:val="002714C7"/>
    <w:rsid w:val="0028161D"/>
    <w:rsid w:val="00290C22"/>
    <w:rsid w:val="00292AC5"/>
    <w:rsid w:val="002948D0"/>
    <w:rsid w:val="002A7703"/>
    <w:rsid w:val="002B0E7E"/>
    <w:rsid w:val="002B3704"/>
    <w:rsid w:val="002C19AD"/>
    <w:rsid w:val="002E27C3"/>
    <w:rsid w:val="002E44AC"/>
    <w:rsid w:val="002E484E"/>
    <w:rsid w:val="002E6338"/>
    <w:rsid w:val="002F025F"/>
    <w:rsid w:val="002F0AD1"/>
    <w:rsid w:val="002F3108"/>
    <w:rsid w:val="002F49E2"/>
    <w:rsid w:val="00300DCA"/>
    <w:rsid w:val="00305D52"/>
    <w:rsid w:val="00323586"/>
    <w:rsid w:val="00331280"/>
    <w:rsid w:val="00354BF2"/>
    <w:rsid w:val="003572D9"/>
    <w:rsid w:val="00361159"/>
    <w:rsid w:val="00366696"/>
    <w:rsid w:val="00375EB0"/>
    <w:rsid w:val="00376774"/>
    <w:rsid w:val="00381A25"/>
    <w:rsid w:val="0039069A"/>
    <w:rsid w:val="003A0221"/>
    <w:rsid w:val="003A1922"/>
    <w:rsid w:val="003A2C39"/>
    <w:rsid w:val="003A48FC"/>
    <w:rsid w:val="003A5DA3"/>
    <w:rsid w:val="003B5A8C"/>
    <w:rsid w:val="003B790D"/>
    <w:rsid w:val="003C6A20"/>
    <w:rsid w:val="003D0489"/>
    <w:rsid w:val="003D1506"/>
    <w:rsid w:val="003D6E68"/>
    <w:rsid w:val="003E0979"/>
    <w:rsid w:val="003E1210"/>
    <w:rsid w:val="003E5E83"/>
    <w:rsid w:val="003E6A81"/>
    <w:rsid w:val="003E7DD2"/>
    <w:rsid w:val="0040586B"/>
    <w:rsid w:val="00406445"/>
    <w:rsid w:val="00407008"/>
    <w:rsid w:val="004233DC"/>
    <w:rsid w:val="004409B8"/>
    <w:rsid w:val="004443DD"/>
    <w:rsid w:val="0044499D"/>
    <w:rsid w:val="00450FC4"/>
    <w:rsid w:val="00457812"/>
    <w:rsid w:val="00462848"/>
    <w:rsid w:val="00474C69"/>
    <w:rsid w:val="00482A0D"/>
    <w:rsid w:val="00493E01"/>
    <w:rsid w:val="004950EF"/>
    <w:rsid w:val="004A154F"/>
    <w:rsid w:val="004B1BA2"/>
    <w:rsid w:val="004B6053"/>
    <w:rsid w:val="004B627F"/>
    <w:rsid w:val="004C0BED"/>
    <w:rsid w:val="004C127E"/>
    <w:rsid w:val="004C3EAB"/>
    <w:rsid w:val="004D228E"/>
    <w:rsid w:val="004E3069"/>
    <w:rsid w:val="004E4198"/>
    <w:rsid w:val="004F4C8C"/>
    <w:rsid w:val="004F54A4"/>
    <w:rsid w:val="004F651D"/>
    <w:rsid w:val="00502548"/>
    <w:rsid w:val="00507A89"/>
    <w:rsid w:val="005120AD"/>
    <w:rsid w:val="005168E3"/>
    <w:rsid w:val="005204C5"/>
    <w:rsid w:val="0052057F"/>
    <w:rsid w:val="0053535F"/>
    <w:rsid w:val="00535A32"/>
    <w:rsid w:val="00550561"/>
    <w:rsid w:val="005549C7"/>
    <w:rsid w:val="00561140"/>
    <w:rsid w:val="00565FA2"/>
    <w:rsid w:val="00566B53"/>
    <w:rsid w:val="005863E5"/>
    <w:rsid w:val="00587070"/>
    <w:rsid w:val="005A4E27"/>
    <w:rsid w:val="005B2227"/>
    <w:rsid w:val="005C7989"/>
    <w:rsid w:val="005C7B11"/>
    <w:rsid w:val="005D1BF6"/>
    <w:rsid w:val="005D5EE1"/>
    <w:rsid w:val="005F0812"/>
    <w:rsid w:val="00621727"/>
    <w:rsid w:val="00622A32"/>
    <w:rsid w:val="00624B37"/>
    <w:rsid w:val="006256D6"/>
    <w:rsid w:val="00634DFC"/>
    <w:rsid w:val="00642AAA"/>
    <w:rsid w:val="00643688"/>
    <w:rsid w:val="00644DFC"/>
    <w:rsid w:val="00677446"/>
    <w:rsid w:val="00682FA2"/>
    <w:rsid w:val="006A721E"/>
    <w:rsid w:val="006B3873"/>
    <w:rsid w:val="006B5D39"/>
    <w:rsid w:val="006B674B"/>
    <w:rsid w:val="006D162F"/>
    <w:rsid w:val="006D4BF4"/>
    <w:rsid w:val="006E7435"/>
    <w:rsid w:val="006F00E4"/>
    <w:rsid w:val="006F07A7"/>
    <w:rsid w:val="006F6F41"/>
    <w:rsid w:val="00723D9E"/>
    <w:rsid w:val="007247C0"/>
    <w:rsid w:val="007307A8"/>
    <w:rsid w:val="00731353"/>
    <w:rsid w:val="0073152F"/>
    <w:rsid w:val="0074432F"/>
    <w:rsid w:val="007515B7"/>
    <w:rsid w:val="00760BA8"/>
    <w:rsid w:val="007614A2"/>
    <w:rsid w:val="00762223"/>
    <w:rsid w:val="00771472"/>
    <w:rsid w:val="007721D6"/>
    <w:rsid w:val="00774252"/>
    <w:rsid w:val="00777D93"/>
    <w:rsid w:val="00782EBD"/>
    <w:rsid w:val="007852B6"/>
    <w:rsid w:val="00797F45"/>
    <w:rsid w:val="007B160A"/>
    <w:rsid w:val="007D26A4"/>
    <w:rsid w:val="007D2FC6"/>
    <w:rsid w:val="007E12B9"/>
    <w:rsid w:val="007E658F"/>
    <w:rsid w:val="007F37E1"/>
    <w:rsid w:val="007F445D"/>
    <w:rsid w:val="007F535E"/>
    <w:rsid w:val="00800C6A"/>
    <w:rsid w:val="00802300"/>
    <w:rsid w:val="00830617"/>
    <w:rsid w:val="00861190"/>
    <w:rsid w:val="0087090A"/>
    <w:rsid w:val="0087587E"/>
    <w:rsid w:val="00883D4A"/>
    <w:rsid w:val="00887AAF"/>
    <w:rsid w:val="008932E2"/>
    <w:rsid w:val="00893738"/>
    <w:rsid w:val="00895673"/>
    <w:rsid w:val="008A5336"/>
    <w:rsid w:val="008A7107"/>
    <w:rsid w:val="008B1E17"/>
    <w:rsid w:val="008B1ED8"/>
    <w:rsid w:val="008B5056"/>
    <w:rsid w:val="008D1B03"/>
    <w:rsid w:val="008D4750"/>
    <w:rsid w:val="008E2CEF"/>
    <w:rsid w:val="008E68E5"/>
    <w:rsid w:val="00904FBB"/>
    <w:rsid w:val="009100D9"/>
    <w:rsid w:val="009152B7"/>
    <w:rsid w:val="00921613"/>
    <w:rsid w:val="00923FCD"/>
    <w:rsid w:val="00926DFE"/>
    <w:rsid w:val="00942F9E"/>
    <w:rsid w:val="009452F5"/>
    <w:rsid w:val="009578EA"/>
    <w:rsid w:val="00957D8A"/>
    <w:rsid w:val="00980B6D"/>
    <w:rsid w:val="00996CEA"/>
    <w:rsid w:val="009977B0"/>
    <w:rsid w:val="009A0421"/>
    <w:rsid w:val="009A2780"/>
    <w:rsid w:val="009A76A0"/>
    <w:rsid w:val="009C1489"/>
    <w:rsid w:val="009C2F0F"/>
    <w:rsid w:val="009C6704"/>
    <w:rsid w:val="009D2670"/>
    <w:rsid w:val="009D4A59"/>
    <w:rsid w:val="009E31CD"/>
    <w:rsid w:val="009E5962"/>
    <w:rsid w:val="009E7832"/>
    <w:rsid w:val="009F0108"/>
    <w:rsid w:val="009F31B3"/>
    <w:rsid w:val="00A01F7A"/>
    <w:rsid w:val="00A04616"/>
    <w:rsid w:val="00A05BF5"/>
    <w:rsid w:val="00A07F86"/>
    <w:rsid w:val="00A1427F"/>
    <w:rsid w:val="00A14884"/>
    <w:rsid w:val="00A25256"/>
    <w:rsid w:val="00A37C9A"/>
    <w:rsid w:val="00A5364F"/>
    <w:rsid w:val="00A663F6"/>
    <w:rsid w:val="00A7347D"/>
    <w:rsid w:val="00A77AA2"/>
    <w:rsid w:val="00A814D0"/>
    <w:rsid w:val="00A90FF6"/>
    <w:rsid w:val="00AA2A7C"/>
    <w:rsid w:val="00AA3FA7"/>
    <w:rsid w:val="00AB1EC8"/>
    <w:rsid w:val="00AB2BCC"/>
    <w:rsid w:val="00AD0BED"/>
    <w:rsid w:val="00AE0B97"/>
    <w:rsid w:val="00AE1C86"/>
    <w:rsid w:val="00B11365"/>
    <w:rsid w:val="00B13F52"/>
    <w:rsid w:val="00B1569F"/>
    <w:rsid w:val="00B234A8"/>
    <w:rsid w:val="00B2543D"/>
    <w:rsid w:val="00B27EFE"/>
    <w:rsid w:val="00B30C5E"/>
    <w:rsid w:val="00B32759"/>
    <w:rsid w:val="00B33099"/>
    <w:rsid w:val="00B352E5"/>
    <w:rsid w:val="00B37D61"/>
    <w:rsid w:val="00B568C1"/>
    <w:rsid w:val="00B616A0"/>
    <w:rsid w:val="00B73AC2"/>
    <w:rsid w:val="00B742D1"/>
    <w:rsid w:val="00B80AC4"/>
    <w:rsid w:val="00B855EC"/>
    <w:rsid w:val="00B8749E"/>
    <w:rsid w:val="00B91731"/>
    <w:rsid w:val="00B92E4E"/>
    <w:rsid w:val="00BB5F79"/>
    <w:rsid w:val="00BC3687"/>
    <w:rsid w:val="00BC4124"/>
    <w:rsid w:val="00BC5500"/>
    <w:rsid w:val="00BC6334"/>
    <w:rsid w:val="00BD1B49"/>
    <w:rsid w:val="00BD4DE4"/>
    <w:rsid w:val="00BE204E"/>
    <w:rsid w:val="00BE205F"/>
    <w:rsid w:val="00C00EA0"/>
    <w:rsid w:val="00C04ED1"/>
    <w:rsid w:val="00C22A16"/>
    <w:rsid w:val="00C24CE5"/>
    <w:rsid w:val="00C26FC1"/>
    <w:rsid w:val="00C27EA6"/>
    <w:rsid w:val="00C35EFF"/>
    <w:rsid w:val="00C4756E"/>
    <w:rsid w:val="00C50F55"/>
    <w:rsid w:val="00C538F1"/>
    <w:rsid w:val="00C63C99"/>
    <w:rsid w:val="00C72150"/>
    <w:rsid w:val="00C733A4"/>
    <w:rsid w:val="00C7712C"/>
    <w:rsid w:val="00CA4EC5"/>
    <w:rsid w:val="00CA522A"/>
    <w:rsid w:val="00CB6BA0"/>
    <w:rsid w:val="00CC6D50"/>
    <w:rsid w:val="00CD2A9A"/>
    <w:rsid w:val="00CE0027"/>
    <w:rsid w:val="00CF5A76"/>
    <w:rsid w:val="00CF7311"/>
    <w:rsid w:val="00D0231A"/>
    <w:rsid w:val="00D02FA7"/>
    <w:rsid w:val="00D109CC"/>
    <w:rsid w:val="00D10C6B"/>
    <w:rsid w:val="00D12937"/>
    <w:rsid w:val="00D1403E"/>
    <w:rsid w:val="00D14255"/>
    <w:rsid w:val="00D214A4"/>
    <w:rsid w:val="00D2737B"/>
    <w:rsid w:val="00D33F41"/>
    <w:rsid w:val="00D45D45"/>
    <w:rsid w:val="00D517C6"/>
    <w:rsid w:val="00D55DB4"/>
    <w:rsid w:val="00D761C8"/>
    <w:rsid w:val="00D81236"/>
    <w:rsid w:val="00D81743"/>
    <w:rsid w:val="00D8565D"/>
    <w:rsid w:val="00D91EE5"/>
    <w:rsid w:val="00D92471"/>
    <w:rsid w:val="00DA4FAC"/>
    <w:rsid w:val="00DB4149"/>
    <w:rsid w:val="00DC546D"/>
    <w:rsid w:val="00DD066E"/>
    <w:rsid w:val="00DD640A"/>
    <w:rsid w:val="00DE7788"/>
    <w:rsid w:val="00DE7E8F"/>
    <w:rsid w:val="00DF54A6"/>
    <w:rsid w:val="00DF5B3B"/>
    <w:rsid w:val="00E02954"/>
    <w:rsid w:val="00E13860"/>
    <w:rsid w:val="00E15057"/>
    <w:rsid w:val="00E16AAC"/>
    <w:rsid w:val="00E16ECF"/>
    <w:rsid w:val="00E32542"/>
    <w:rsid w:val="00E3299E"/>
    <w:rsid w:val="00E354E5"/>
    <w:rsid w:val="00E465A2"/>
    <w:rsid w:val="00E57079"/>
    <w:rsid w:val="00E6754C"/>
    <w:rsid w:val="00E70563"/>
    <w:rsid w:val="00E8140F"/>
    <w:rsid w:val="00E93690"/>
    <w:rsid w:val="00E96C5E"/>
    <w:rsid w:val="00E96CD3"/>
    <w:rsid w:val="00E9731A"/>
    <w:rsid w:val="00EA0447"/>
    <w:rsid w:val="00EA3B4B"/>
    <w:rsid w:val="00EA3B75"/>
    <w:rsid w:val="00EA4AF0"/>
    <w:rsid w:val="00EA5E47"/>
    <w:rsid w:val="00EA6F15"/>
    <w:rsid w:val="00EC1B9E"/>
    <w:rsid w:val="00ED37AF"/>
    <w:rsid w:val="00EE01E8"/>
    <w:rsid w:val="00EE0282"/>
    <w:rsid w:val="00EE3D5F"/>
    <w:rsid w:val="00EE4CAE"/>
    <w:rsid w:val="00EE5380"/>
    <w:rsid w:val="00EE5685"/>
    <w:rsid w:val="00EE6B18"/>
    <w:rsid w:val="00EF373A"/>
    <w:rsid w:val="00EF757D"/>
    <w:rsid w:val="00F1002E"/>
    <w:rsid w:val="00F12A25"/>
    <w:rsid w:val="00F143F0"/>
    <w:rsid w:val="00F2381E"/>
    <w:rsid w:val="00F256C9"/>
    <w:rsid w:val="00F26D1A"/>
    <w:rsid w:val="00F54913"/>
    <w:rsid w:val="00F55DF2"/>
    <w:rsid w:val="00F63F08"/>
    <w:rsid w:val="00F6645D"/>
    <w:rsid w:val="00F669D1"/>
    <w:rsid w:val="00F741DE"/>
    <w:rsid w:val="00F75916"/>
    <w:rsid w:val="00F7757C"/>
    <w:rsid w:val="00F9054B"/>
    <w:rsid w:val="00FA6AF4"/>
    <w:rsid w:val="00FB653D"/>
    <w:rsid w:val="00FD7570"/>
    <w:rsid w:val="00FD76C7"/>
    <w:rsid w:val="00FE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0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4B3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24B37"/>
    <w:rPr>
      <w:color w:val="0000FF" w:themeColor="hyperlink"/>
      <w:u w:val="single"/>
    </w:rPr>
  </w:style>
  <w:style w:type="paragraph" w:styleId="BalloonText">
    <w:name w:val="Balloon Text"/>
    <w:basedOn w:val="Normal"/>
    <w:link w:val="BalloonTextChar"/>
    <w:uiPriority w:val="99"/>
    <w:semiHidden/>
    <w:unhideWhenUsed/>
    <w:rsid w:val="00B85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5EC"/>
    <w:rPr>
      <w:rFonts w:ascii="Tahoma" w:hAnsi="Tahoma" w:cs="Tahoma"/>
      <w:sz w:val="16"/>
      <w:szCs w:val="16"/>
    </w:rPr>
  </w:style>
  <w:style w:type="paragraph" w:styleId="Header">
    <w:name w:val="header"/>
    <w:basedOn w:val="Normal"/>
    <w:link w:val="HeaderChar"/>
    <w:uiPriority w:val="99"/>
    <w:unhideWhenUsed/>
    <w:rsid w:val="00B8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5EC"/>
  </w:style>
  <w:style w:type="paragraph" w:styleId="Footer">
    <w:name w:val="footer"/>
    <w:basedOn w:val="Normal"/>
    <w:link w:val="FooterChar"/>
    <w:uiPriority w:val="99"/>
    <w:unhideWhenUsed/>
    <w:rsid w:val="00B8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5EC"/>
  </w:style>
  <w:style w:type="character" w:styleId="CommentReference">
    <w:name w:val="annotation reference"/>
    <w:basedOn w:val="DefaultParagraphFont"/>
    <w:uiPriority w:val="99"/>
    <w:semiHidden/>
    <w:unhideWhenUsed/>
    <w:rsid w:val="000325B3"/>
    <w:rPr>
      <w:sz w:val="16"/>
      <w:szCs w:val="16"/>
    </w:rPr>
  </w:style>
  <w:style w:type="paragraph" w:styleId="CommentText">
    <w:name w:val="annotation text"/>
    <w:basedOn w:val="Normal"/>
    <w:link w:val="CommentTextChar"/>
    <w:uiPriority w:val="99"/>
    <w:unhideWhenUsed/>
    <w:rsid w:val="000325B3"/>
    <w:pPr>
      <w:spacing w:line="240" w:lineRule="auto"/>
    </w:pPr>
    <w:rPr>
      <w:sz w:val="20"/>
      <w:szCs w:val="20"/>
    </w:rPr>
  </w:style>
  <w:style w:type="character" w:customStyle="1" w:styleId="CommentTextChar">
    <w:name w:val="Comment Text Char"/>
    <w:basedOn w:val="DefaultParagraphFont"/>
    <w:link w:val="CommentText"/>
    <w:uiPriority w:val="99"/>
    <w:rsid w:val="000325B3"/>
    <w:rPr>
      <w:sz w:val="20"/>
      <w:szCs w:val="20"/>
    </w:rPr>
  </w:style>
  <w:style w:type="paragraph" w:styleId="CommentSubject">
    <w:name w:val="annotation subject"/>
    <w:basedOn w:val="CommentText"/>
    <w:next w:val="CommentText"/>
    <w:link w:val="CommentSubjectChar"/>
    <w:uiPriority w:val="99"/>
    <w:semiHidden/>
    <w:unhideWhenUsed/>
    <w:rsid w:val="000325B3"/>
    <w:rPr>
      <w:b/>
      <w:bCs/>
    </w:rPr>
  </w:style>
  <w:style w:type="character" w:customStyle="1" w:styleId="CommentSubjectChar">
    <w:name w:val="Comment Subject Char"/>
    <w:basedOn w:val="CommentTextChar"/>
    <w:link w:val="CommentSubject"/>
    <w:uiPriority w:val="99"/>
    <w:semiHidden/>
    <w:rsid w:val="000325B3"/>
    <w:rPr>
      <w:b/>
      <w:bCs/>
      <w:sz w:val="20"/>
      <w:szCs w:val="20"/>
    </w:rPr>
  </w:style>
  <w:style w:type="paragraph" w:styleId="ListParagraph">
    <w:name w:val="List Paragraph"/>
    <w:basedOn w:val="Normal"/>
    <w:uiPriority w:val="34"/>
    <w:qFormat/>
    <w:rsid w:val="004F54A4"/>
    <w:pPr>
      <w:ind w:left="720"/>
      <w:contextualSpacing/>
    </w:pPr>
  </w:style>
  <w:style w:type="paragraph" w:styleId="Revision">
    <w:name w:val="Revision"/>
    <w:hidden/>
    <w:uiPriority w:val="99"/>
    <w:semiHidden/>
    <w:rsid w:val="004B627F"/>
    <w:pPr>
      <w:spacing w:after="0" w:line="240" w:lineRule="auto"/>
    </w:pPr>
  </w:style>
  <w:style w:type="character" w:customStyle="1" w:styleId="zzmpTrailerItem">
    <w:name w:val="zzmpTrailerItem"/>
    <w:basedOn w:val="DefaultParagraphFont"/>
    <w:rsid w:val="00E96CD3"/>
    <w:rPr>
      <w:rFonts w:ascii="Calibri" w:hAnsi="Calibri" w:cs="Calibri"/>
      <w:dstrike w:val="0"/>
      <w:noProof/>
      <w:color w:val="auto"/>
      <w:spacing w:val="0"/>
      <w:position w:val="0"/>
      <w:sz w:val="16"/>
      <w:szCs w:val="16"/>
      <w:u w:val="none"/>
      <w:effect w:val="none"/>
      <w:vertAlign w:val="baseline"/>
    </w:rPr>
  </w:style>
  <w:style w:type="paragraph" w:styleId="NormalWeb">
    <w:name w:val="Normal (Web)"/>
    <w:basedOn w:val="Normal"/>
    <w:uiPriority w:val="99"/>
    <w:semiHidden/>
    <w:unhideWhenUsed/>
    <w:rsid w:val="000C2F2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234A8"/>
    <w:rPr>
      <w:color w:val="800080" w:themeColor="followedHyperlink"/>
      <w:u w:val="single"/>
    </w:rPr>
  </w:style>
  <w:style w:type="paragraph" w:styleId="FootnoteText">
    <w:name w:val="footnote text"/>
    <w:basedOn w:val="Normal"/>
    <w:link w:val="FootnoteTextChar"/>
    <w:uiPriority w:val="99"/>
    <w:semiHidden/>
    <w:unhideWhenUsed/>
    <w:rsid w:val="00B234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34A8"/>
    <w:rPr>
      <w:sz w:val="20"/>
      <w:szCs w:val="20"/>
    </w:rPr>
  </w:style>
  <w:style w:type="character" w:styleId="FootnoteReference">
    <w:name w:val="footnote reference"/>
    <w:basedOn w:val="DefaultParagraphFont"/>
    <w:uiPriority w:val="99"/>
    <w:semiHidden/>
    <w:unhideWhenUsed/>
    <w:rsid w:val="00B234A8"/>
    <w:rPr>
      <w:vertAlign w:val="superscript"/>
    </w:rPr>
  </w:style>
  <w:style w:type="table" w:styleId="GridTable1Light">
    <w:name w:val="Grid Table 1 Light"/>
    <w:basedOn w:val="TableNormal"/>
    <w:uiPriority w:val="46"/>
    <w:rsid w:val="00BE20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7D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2780"/>
    <w:rPr>
      <w:color w:val="605E5C"/>
      <w:shd w:val="clear" w:color="auto" w:fill="E1DFDD"/>
    </w:rPr>
  </w:style>
  <w:style w:type="character" w:styleId="Mention">
    <w:name w:val="Mention"/>
    <w:basedOn w:val="DefaultParagraphFont"/>
    <w:uiPriority w:val="99"/>
    <w:unhideWhenUsed/>
    <w:rsid w:val="006D16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47186">
      <w:bodyDiv w:val="1"/>
      <w:marLeft w:val="0"/>
      <w:marRight w:val="0"/>
      <w:marTop w:val="0"/>
      <w:marBottom w:val="0"/>
      <w:divBdr>
        <w:top w:val="none" w:sz="0" w:space="0" w:color="auto"/>
        <w:left w:val="none" w:sz="0" w:space="0" w:color="auto"/>
        <w:bottom w:val="none" w:sz="0" w:space="0" w:color="auto"/>
        <w:right w:val="none" w:sz="0" w:space="0" w:color="auto"/>
      </w:divBdr>
    </w:div>
    <w:div w:id="219445691">
      <w:bodyDiv w:val="1"/>
      <w:marLeft w:val="0"/>
      <w:marRight w:val="0"/>
      <w:marTop w:val="0"/>
      <w:marBottom w:val="0"/>
      <w:divBdr>
        <w:top w:val="none" w:sz="0" w:space="0" w:color="auto"/>
        <w:left w:val="none" w:sz="0" w:space="0" w:color="auto"/>
        <w:bottom w:val="none" w:sz="0" w:space="0" w:color="auto"/>
        <w:right w:val="none" w:sz="0" w:space="0" w:color="auto"/>
      </w:divBdr>
    </w:div>
    <w:div w:id="452869341">
      <w:bodyDiv w:val="1"/>
      <w:marLeft w:val="0"/>
      <w:marRight w:val="0"/>
      <w:marTop w:val="0"/>
      <w:marBottom w:val="0"/>
      <w:divBdr>
        <w:top w:val="none" w:sz="0" w:space="0" w:color="auto"/>
        <w:left w:val="none" w:sz="0" w:space="0" w:color="auto"/>
        <w:bottom w:val="none" w:sz="0" w:space="0" w:color="auto"/>
        <w:right w:val="none" w:sz="0" w:space="0" w:color="auto"/>
      </w:divBdr>
    </w:div>
    <w:div w:id="522134989">
      <w:bodyDiv w:val="1"/>
      <w:marLeft w:val="0"/>
      <w:marRight w:val="0"/>
      <w:marTop w:val="0"/>
      <w:marBottom w:val="0"/>
      <w:divBdr>
        <w:top w:val="none" w:sz="0" w:space="0" w:color="auto"/>
        <w:left w:val="none" w:sz="0" w:space="0" w:color="auto"/>
        <w:bottom w:val="none" w:sz="0" w:space="0" w:color="auto"/>
        <w:right w:val="none" w:sz="0" w:space="0" w:color="auto"/>
      </w:divBdr>
    </w:div>
    <w:div w:id="581991421">
      <w:bodyDiv w:val="1"/>
      <w:marLeft w:val="0"/>
      <w:marRight w:val="0"/>
      <w:marTop w:val="0"/>
      <w:marBottom w:val="0"/>
      <w:divBdr>
        <w:top w:val="none" w:sz="0" w:space="0" w:color="auto"/>
        <w:left w:val="none" w:sz="0" w:space="0" w:color="auto"/>
        <w:bottom w:val="none" w:sz="0" w:space="0" w:color="auto"/>
        <w:right w:val="none" w:sz="0" w:space="0" w:color="auto"/>
      </w:divBdr>
    </w:div>
    <w:div w:id="754202682">
      <w:bodyDiv w:val="1"/>
      <w:marLeft w:val="0"/>
      <w:marRight w:val="0"/>
      <w:marTop w:val="0"/>
      <w:marBottom w:val="0"/>
      <w:divBdr>
        <w:top w:val="none" w:sz="0" w:space="0" w:color="auto"/>
        <w:left w:val="none" w:sz="0" w:space="0" w:color="auto"/>
        <w:bottom w:val="none" w:sz="0" w:space="0" w:color="auto"/>
        <w:right w:val="none" w:sz="0" w:space="0" w:color="auto"/>
      </w:divBdr>
    </w:div>
    <w:div w:id="1051074421">
      <w:bodyDiv w:val="1"/>
      <w:marLeft w:val="0"/>
      <w:marRight w:val="0"/>
      <w:marTop w:val="0"/>
      <w:marBottom w:val="0"/>
      <w:divBdr>
        <w:top w:val="none" w:sz="0" w:space="0" w:color="auto"/>
        <w:left w:val="none" w:sz="0" w:space="0" w:color="auto"/>
        <w:bottom w:val="none" w:sz="0" w:space="0" w:color="auto"/>
        <w:right w:val="none" w:sz="0" w:space="0" w:color="auto"/>
      </w:divBdr>
    </w:div>
    <w:div w:id="1149635411">
      <w:bodyDiv w:val="1"/>
      <w:marLeft w:val="0"/>
      <w:marRight w:val="0"/>
      <w:marTop w:val="0"/>
      <w:marBottom w:val="0"/>
      <w:divBdr>
        <w:top w:val="none" w:sz="0" w:space="0" w:color="auto"/>
        <w:left w:val="none" w:sz="0" w:space="0" w:color="auto"/>
        <w:bottom w:val="none" w:sz="0" w:space="0" w:color="auto"/>
        <w:right w:val="none" w:sz="0" w:space="0" w:color="auto"/>
      </w:divBdr>
    </w:div>
    <w:div w:id="1384478502">
      <w:bodyDiv w:val="1"/>
      <w:marLeft w:val="0"/>
      <w:marRight w:val="0"/>
      <w:marTop w:val="0"/>
      <w:marBottom w:val="0"/>
      <w:divBdr>
        <w:top w:val="none" w:sz="0" w:space="0" w:color="auto"/>
        <w:left w:val="none" w:sz="0" w:space="0" w:color="auto"/>
        <w:bottom w:val="none" w:sz="0" w:space="0" w:color="auto"/>
        <w:right w:val="none" w:sz="0" w:space="0" w:color="auto"/>
      </w:divBdr>
    </w:div>
    <w:div w:id="1503354963">
      <w:bodyDiv w:val="1"/>
      <w:marLeft w:val="0"/>
      <w:marRight w:val="0"/>
      <w:marTop w:val="0"/>
      <w:marBottom w:val="0"/>
      <w:divBdr>
        <w:top w:val="none" w:sz="0" w:space="0" w:color="auto"/>
        <w:left w:val="none" w:sz="0" w:space="0" w:color="auto"/>
        <w:bottom w:val="none" w:sz="0" w:space="0" w:color="auto"/>
        <w:right w:val="none" w:sz="0" w:space="0" w:color="auto"/>
      </w:divBdr>
    </w:div>
    <w:div w:id="1794640846">
      <w:bodyDiv w:val="1"/>
      <w:marLeft w:val="0"/>
      <w:marRight w:val="0"/>
      <w:marTop w:val="0"/>
      <w:marBottom w:val="0"/>
      <w:divBdr>
        <w:top w:val="none" w:sz="0" w:space="0" w:color="auto"/>
        <w:left w:val="none" w:sz="0" w:space="0" w:color="auto"/>
        <w:bottom w:val="none" w:sz="0" w:space="0" w:color="auto"/>
        <w:right w:val="none" w:sz="0" w:space="0" w:color="auto"/>
      </w:divBdr>
    </w:div>
    <w:div w:id="208032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cpower.org/resources/rfq-rfp-solicitations/" TargetMode="External"/><Relationship Id="rId18" Type="http://schemas.openxmlformats.org/officeDocument/2006/relationships/hyperlink" Target="https://www.ocpower.org/resources/rfq-rfp-solicitation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cpower.org/resources/rfq-rfp-solicitations/" TargetMode="External"/><Relationship Id="rId17" Type="http://schemas.openxmlformats.org/officeDocument/2006/relationships/hyperlink" Target="mailto:powerresources@ocpower.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idnetdirect.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cpower.org/"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bidnetdirect.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ocpower.org/resources/key-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E3430FC406C47886367118402139F" ma:contentTypeVersion="2" ma:contentTypeDescription="Create a new document." ma:contentTypeScope="" ma:versionID="a019c06c993fc6454f60ab1e6a7ff117">
  <xsd:schema xmlns:xsd="http://www.w3.org/2001/XMLSchema" xmlns:xs="http://www.w3.org/2001/XMLSchema" xmlns:p="http://schemas.microsoft.com/office/2006/metadata/properties" xmlns:ns2="2f4b7d90-cbc6-4230-b4a5-9225a0816b16" targetNamespace="http://schemas.microsoft.com/office/2006/metadata/properties" ma:root="true" ma:fieldsID="fa70298a1b2d4ca2b70eb527664ac513" ns2:_="">
    <xsd:import namespace="2f4b7d90-cbc6-4230-b4a5-9225a0816b1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b7d90-cbc6-4230-b4a5-9225a0816b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D40B9-807E-4C8F-88C3-8C034B780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b7d90-cbc6-4230-b4a5-9225a0816b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AF8CD4-C2FA-4CDE-9CE1-859E6C1909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FD411B-DE04-46AE-AEAC-0CC60055EC45}">
  <ds:schemaRefs>
    <ds:schemaRef ds:uri="http://schemas.openxmlformats.org/officeDocument/2006/bibliography"/>
  </ds:schemaRefs>
</ds:datastoreItem>
</file>

<file path=customXml/itemProps4.xml><?xml version="1.0" encoding="utf-8"?>
<ds:datastoreItem xmlns:ds="http://schemas.openxmlformats.org/officeDocument/2006/customXml" ds:itemID="{94BBAC46-B23C-4013-8854-5985F5F8EE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2689</Words>
  <Characters>16914</Characters>
  <Application>Microsoft Office Word</Application>
  <DocSecurity>0</DocSecurity>
  <Lines>296</Lines>
  <Paragraphs>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2026-06-29T20:35:00Z</dcterms:created>
  <dcterms:modified xsi:type="dcterms:W3CDTF">2026-06-29T23:07:00Z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IFAAO1EAeOoyampa7p6qr0sMUIQOmozGlZsFwJRNLgt0Uu1eZfzIr+nkvRRGKXdLcuf6ZNnW7Zo7i3uq
9BjpSK8cooYkmOX7FuQAXH18CkGJS/dUFZdHEe6L8WeF6LX/ACJvcRze/4wqQB6q9BjpSK8cooYk
mOX7FuQAXH18CkGJS/dUFZdHEe6L8TDucmqW04nMayQcTYakwAAugYnBKk5LMt1XC4I9Jy8v3P/d
lQLWhZ44vT+zEGhLr</vt:lpwstr>
  </property>
  <property fmtid="{D5CDD505-2E9C-101B-9397-08002B2CF9AE}" pid="3" name="MAIL_MSG_ID2">
    <vt:lpwstr>nOft4bWMjl9iJ/BXoCF5FGMFZXmlKf34AdhexNhUwYictu88ZfZU3jIftB/
ldgWKN2dbZnvK8s3</vt:lpwstr>
  </property>
  <property fmtid="{D5CDD505-2E9C-101B-9397-08002B2CF9AE}" pid="4" name="RESPONSE_SENDER_NAME">
    <vt:lpwstr>gAAAJ+PfKkF/6hjZQNE5b4xt8WcH6fhLsvb/</vt:lpwstr>
  </property>
  <property fmtid="{D5CDD505-2E9C-101B-9397-08002B2CF9AE}" pid="5" name="EMAIL_OWNER_ADDRESS">
    <vt:lpwstr>ABAAdnH19QYq2YXA5Dr8BVKY6J6E0BAm+WLZ5KYbg6TlGUX/eSdBfOA2HpiAfDk/dHST</vt:lpwstr>
  </property>
  <property fmtid="{D5CDD505-2E9C-101B-9397-08002B2CF9AE}" pid="6" name="ContentTypeId">
    <vt:lpwstr>0x010100700E3430FC406C47886367118402139F</vt:lpwstr>
  </property>
  <property fmtid="{D5CDD505-2E9C-101B-9397-08002B2CF9AE}" pid="7" name="GrammarlyDocumentId">
    <vt:lpwstr>d7bb219c-e7e1-4056-ac44-78b8d7e6eccb</vt:lpwstr>
  </property>
</Properties>
</file>